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AFE" w:rsidRDefault="009F5AFE" w:rsidP="009F5AFE">
      <w:pPr>
        <w:keepNext w:val="0"/>
        <w:keepLines w:val="0"/>
        <w:autoSpaceDE w:val="0"/>
        <w:autoSpaceDN w:val="0"/>
        <w:adjustRightInd w:val="0"/>
        <w:spacing w:before="0" w:line="240" w:lineRule="auto"/>
        <w:rPr>
          <w:rFonts w:ascii="Tahoma" w:eastAsiaTheme="minorHAnsi" w:hAnsi="Tahoma" w:cs="Tahoma"/>
          <w:color w:val="auto"/>
          <w:sz w:val="20"/>
          <w:szCs w:val="20"/>
        </w:rPr>
      </w:pPr>
    </w:p>
    <w:p w:rsidR="009F5AFE" w:rsidRDefault="009F5AFE" w:rsidP="009F5AFE">
      <w:pPr>
        <w:autoSpaceDE w:val="0"/>
        <w:autoSpaceDN w:val="0"/>
        <w:adjustRightInd w:val="0"/>
        <w:spacing w:after="0" w:line="240" w:lineRule="auto"/>
        <w:jc w:val="both"/>
        <w:outlineLvl w:val="0"/>
        <w:rPr>
          <w:rFonts w:ascii="Arial" w:hAnsi="Arial" w:cs="Arial"/>
          <w:sz w:val="20"/>
          <w:szCs w:val="20"/>
        </w:rPr>
      </w:pP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ПРАВИТЕЛЬСТВО РОССИЙСКОЙ ФЕДЕРАЦИИ</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ПОСТАНОВЛЕНИЕ</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от 4 мая 2012 г. N 442</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О ФУНКЦИОНИРОВАНИИ</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РОЗНИЧНЫХ РЫНКОВ ЭЛЕКТРИЧЕСКОЙ ЭНЕРГИИ, ПОЛНОМ</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И (ИЛИ) ЧАСТИЧНОМ ОГРАНИЧЕНИИ РЕЖИМА ПОТРЕБЛЕНИЯ</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ЭЛЕКТРИЧЕСКОЙ ЭНЕРГИИ</w:t>
      </w:r>
    </w:p>
    <w:p w:rsidR="009F5AFE" w:rsidRDefault="009F5AFE" w:rsidP="009F5AFE">
      <w:pPr>
        <w:autoSpaceDE w:val="0"/>
        <w:autoSpaceDN w:val="0"/>
        <w:adjustRightInd w:val="0"/>
        <w:spacing w:after="0" w:line="240" w:lineRule="auto"/>
        <w:rPr>
          <w:rFonts w:ascii="Arial" w:hAnsi="Arial" w:cs="Arial"/>
          <w:sz w:val="24"/>
          <w:szCs w:val="24"/>
        </w:rPr>
      </w:pPr>
    </w:p>
    <w:tbl>
      <w:tblPr>
        <w:tblW w:w="5000" w:type="pct"/>
        <w:jc w:val="center"/>
        <w:tblLayout w:type="fixed"/>
        <w:tblCellMar>
          <w:top w:w="113" w:type="dxa"/>
          <w:left w:w="113" w:type="dxa"/>
          <w:bottom w:w="113" w:type="dxa"/>
          <w:right w:w="113" w:type="dxa"/>
        </w:tblCellMar>
        <w:tblLook w:val="0000" w:firstRow="0" w:lastRow="0" w:firstColumn="0" w:lastColumn="0" w:noHBand="0" w:noVBand="0"/>
      </w:tblPr>
      <w:tblGrid>
        <w:gridCol w:w="10433"/>
      </w:tblGrid>
      <w:tr w:rsidR="009F5AFE">
        <w:trPr>
          <w:jc w:val="center"/>
        </w:trPr>
        <w:tc>
          <w:tcPr>
            <w:tcW w:w="5000" w:type="pct"/>
            <w:tcBorders>
              <w:left w:val="single" w:sz="24" w:space="0" w:color="CED3F1"/>
              <w:right w:val="single" w:sz="24" w:space="0" w:color="F4F3F8"/>
            </w:tcBorders>
            <w:shd w:val="clear" w:color="auto" w:fill="F4F3F8"/>
          </w:tcPr>
          <w:p w:rsidR="009F5AFE" w:rsidRDefault="009F5AFE">
            <w:pPr>
              <w:autoSpaceDE w:val="0"/>
              <w:autoSpaceDN w:val="0"/>
              <w:adjustRightInd w:val="0"/>
              <w:spacing w:after="0" w:line="240" w:lineRule="auto"/>
              <w:jc w:val="center"/>
              <w:rPr>
                <w:rFonts w:ascii="Arial" w:hAnsi="Arial" w:cs="Arial"/>
                <w:color w:val="392C69"/>
                <w:sz w:val="20"/>
                <w:szCs w:val="20"/>
              </w:rPr>
            </w:pPr>
            <w:bookmarkStart w:id="0" w:name="_GoBack" w:colFirst="0" w:colLast="0"/>
            <w:r>
              <w:rPr>
                <w:rFonts w:ascii="Arial" w:hAnsi="Arial" w:cs="Arial"/>
                <w:color w:val="392C69"/>
                <w:sz w:val="20"/>
                <w:szCs w:val="20"/>
              </w:rPr>
              <w:t>Список изменяющих документов</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(в ред. Постановлений Правительства РФ от 28.12.2012 </w:t>
            </w:r>
            <w:hyperlink r:id="rId5" w:history="1">
              <w:r>
                <w:rPr>
                  <w:rFonts w:ascii="Arial" w:hAnsi="Arial" w:cs="Arial"/>
                  <w:color w:val="0000FF"/>
                  <w:sz w:val="20"/>
                  <w:szCs w:val="20"/>
                </w:rPr>
                <w:t>N 1449</w:t>
              </w:r>
            </w:hyperlink>
            <w:r>
              <w:rPr>
                <w:rFonts w:ascii="Arial" w:hAnsi="Arial" w:cs="Arial"/>
                <w:color w:val="392C69"/>
                <w:sz w:val="20"/>
                <w:szCs w:val="20"/>
              </w:rPr>
              <w:t>,</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30.12.2012 </w:t>
            </w:r>
            <w:hyperlink r:id="rId6" w:history="1">
              <w:r>
                <w:rPr>
                  <w:rFonts w:ascii="Arial" w:hAnsi="Arial" w:cs="Arial"/>
                  <w:color w:val="0000FF"/>
                  <w:sz w:val="20"/>
                  <w:szCs w:val="20"/>
                </w:rPr>
                <w:t>N 1482</w:t>
              </w:r>
            </w:hyperlink>
            <w:r>
              <w:rPr>
                <w:rFonts w:ascii="Arial" w:hAnsi="Arial" w:cs="Arial"/>
                <w:color w:val="392C69"/>
                <w:sz w:val="20"/>
                <w:szCs w:val="20"/>
              </w:rPr>
              <w:t xml:space="preserve">, от 30.01.2013 </w:t>
            </w:r>
            <w:hyperlink r:id="rId7" w:history="1">
              <w:r>
                <w:rPr>
                  <w:rFonts w:ascii="Arial" w:hAnsi="Arial" w:cs="Arial"/>
                  <w:color w:val="0000FF"/>
                  <w:sz w:val="20"/>
                  <w:szCs w:val="20"/>
                </w:rPr>
                <w:t>N 67</w:t>
              </w:r>
            </w:hyperlink>
            <w:r>
              <w:rPr>
                <w:rFonts w:ascii="Arial" w:hAnsi="Arial" w:cs="Arial"/>
                <w:color w:val="392C69"/>
                <w:sz w:val="20"/>
                <w:szCs w:val="20"/>
              </w:rPr>
              <w:t xml:space="preserve">, от 26.07.2013 </w:t>
            </w:r>
            <w:hyperlink r:id="rId8" w:history="1">
              <w:r>
                <w:rPr>
                  <w:rFonts w:ascii="Arial" w:hAnsi="Arial" w:cs="Arial"/>
                  <w:color w:val="0000FF"/>
                  <w:sz w:val="20"/>
                  <w:szCs w:val="20"/>
                </w:rPr>
                <w:t>N 630</w:t>
              </w:r>
            </w:hyperlink>
            <w:r>
              <w:rPr>
                <w:rFonts w:ascii="Arial" w:hAnsi="Arial" w:cs="Arial"/>
                <w:color w:val="392C69"/>
                <w:sz w:val="20"/>
                <w:szCs w:val="20"/>
              </w:rPr>
              <w:t>,</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31.07.2013 </w:t>
            </w:r>
            <w:hyperlink r:id="rId9" w:history="1">
              <w:r>
                <w:rPr>
                  <w:rFonts w:ascii="Arial" w:hAnsi="Arial" w:cs="Arial"/>
                  <w:color w:val="0000FF"/>
                  <w:sz w:val="20"/>
                  <w:szCs w:val="20"/>
                </w:rPr>
                <w:t>N 652</w:t>
              </w:r>
            </w:hyperlink>
            <w:r>
              <w:rPr>
                <w:rFonts w:ascii="Arial" w:hAnsi="Arial" w:cs="Arial"/>
                <w:color w:val="392C69"/>
                <w:sz w:val="20"/>
                <w:szCs w:val="20"/>
              </w:rPr>
              <w:t xml:space="preserve">, от 26.08.2013 </w:t>
            </w:r>
            <w:hyperlink r:id="rId10" w:history="1">
              <w:r>
                <w:rPr>
                  <w:rFonts w:ascii="Arial" w:hAnsi="Arial" w:cs="Arial"/>
                  <w:color w:val="0000FF"/>
                  <w:sz w:val="20"/>
                  <w:szCs w:val="20"/>
                </w:rPr>
                <w:t>N 737</w:t>
              </w:r>
            </w:hyperlink>
            <w:r>
              <w:rPr>
                <w:rFonts w:ascii="Arial" w:hAnsi="Arial" w:cs="Arial"/>
                <w:color w:val="392C69"/>
                <w:sz w:val="20"/>
                <w:szCs w:val="20"/>
              </w:rPr>
              <w:t xml:space="preserve">, от 27.08.2013 </w:t>
            </w:r>
            <w:hyperlink r:id="rId11" w:history="1">
              <w:r>
                <w:rPr>
                  <w:rFonts w:ascii="Arial" w:hAnsi="Arial" w:cs="Arial"/>
                  <w:color w:val="0000FF"/>
                  <w:sz w:val="20"/>
                  <w:szCs w:val="20"/>
                </w:rPr>
                <w:t>N 743</w:t>
              </w:r>
            </w:hyperlink>
            <w:r>
              <w:rPr>
                <w:rFonts w:ascii="Arial" w:hAnsi="Arial" w:cs="Arial"/>
                <w:color w:val="392C69"/>
                <w:sz w:val="20"/>
                <w:szCs w:val="20"/>
              </w:rPr>
              <w:t>,</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10.02.2014 </w:t>
            </w:r>
            <w:hyperlink r:id="rId12" w:history="1">
              <w:r>
                <w:rPr>
                  <w:rFonts w:ascii="Arial" w:hAnsi="Arial" w:cs="Arial"/>
                  <w:color w:val="0000FF"/>
                  <w:sz w:val="20"/>
                  <w:szCs w:val="20"/>
                </w:rPr>
                <w:t>N 95</w:t>
              </w:r>
            </w:hyperlink>
            <w:r>
              <w:rPr>
                <w:rFonts w:ascii="Arial" w:hAnsi="Arial" w:cs="Arial"/>
                <w:color w:val="392C69"/>
                <w:sz w:val="20"/>
                <w:szCs w:val="20"/>
              </w:rPr>
              <w:t xml:space="preserve">, от 31.07.2014 </w:t>
            </w:r>
            <w:hyperlink r:id="rId13" w:history="1">
              <w:r>
                <w:rPr>
                  <w:rFonts w:ascii="Arial" w:hAnsi="Arial" w:cs="Arial"/>
                  <w:color w:val="0000FF"/>
                  <w:sz w:val="20"/>
                  <w:szCs w:val="20"/>
                </w:rPr>
                <w:t>N 750</w:t>
              </w:r>
            </w:hyperlink>
            <w:r>
              <w:rPr>
                <w:rFonts w:ascii="Arial" w:hAnsi="Arial" w:cs="Arial"/>
                <w:color w:val="392C69"/>
                <w:sz w:val="20"/>
                <w:szCs w:val="20"/>
              </w:rPr>
              <w:t xml:space="preserve">, от 11.08.2014 </w:t>
            </w:r>
            <w:hyperlink r:id="rId14" w:history="1">
              <w:r>
                <w:rPr>
                  <w:rFonts w:ascii="Arial" w:hAnsi="Arial" w:cs="Arial"/>
                  <w:color w:val="0000FF"/>
                  <w:sz w:val="20"/>
                  <w:szCs w:val="20"/>
                </w:rPr>
                <w:t>N 792</w:t>
              </w:r>
            </w:hyperlink>
            <w:r>
              <w:rPr>
                <w:rFonts w:ascii="Arial" w:hAnsi="Arial" w:cs="Arial"/>
                <w:color w:val="392C69"/>
                <w:sz w:val="20"/>
                <w:szCs w:val="20"/>
              </w:rPr>
              <w:t>,</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23.01.2015 </w:t>
            </w:r>
            <w:hyperlink r:id="rId15" w:history="1">
              <w:r>
                <w:rPr>
                  <w:rFonts w:ascii="Arial" w:hAnsi="Arial" w:cs="Arial"/>
                  <w:color w:val="0000FF"/>
                  <w:sz w:val="20"/>
                  <w:szCs w:val="20"/>
                </w:rPr>
                <w:t>N 47</w:t>
              </w:r>
            </w:hyperlink>
            <w:r>
              <w:rPr>
                <w:rFonts w:ascii="Arial" w:hAnsi="Arial" w:cs="Arial"/>
                <w:color w:val="392C69"/>
                <w:sz w:val="20"/>
                <w:szCs w:val="20"/>
              </w:rPr>
              <w:t xml:space="preserve">, от 28.02.2015 </w:t>
            </w:r>
            <w:hyperlink r:id="rId16" w:history="1">
              <w:r>
                <w:rPr>
                  <w:rFonts w:ascii="Arial" w:hAnsi="Arial" w:cs="Arial"/>
                  <w:color w:val="0000FF"/>
                  <w:sz w:val="20"/>
                  <w:szCs w:val="20"/>
                </w:rPr>
                <w:t>N 183</w:t>
              </w:r>
            </w:hyperlink>
            <w:r>
              <w:rPr>
                <w:rFonts w:ascii="Arial" w:hAnsi="Arial" w:cs="Arial"/>
                <w:color w:val="392C69"/>
                <w:sz w:val="20"/>
                <w:szCs w:val="20"/>
              </w:rPr>
              <w:t xml:space="preserve">, от 28.02.2015 </w:t>
            </w:r>
            <w:hyperlink r:id="rId17" w:history="1">
              <w:r>
                <w:rPr>
                  <w:rFonts w:ascii="Arial" w:hAnsi="Arial" w:cs="Arial"/>
                  <w:color w:val="0000FF"/>
                  <w:sz w:val="20"/>
                  <w:szCs w:val="20"/>
                </w:rPr>
                <w:t>N 184</w:t>
              </w:r>
            </w:hyperlink>
            <w:r>
              <w:rPr>
                <w:rFonts w:ascii="Arial" w:hAnsi="Arial" w:cs="Arial"/>
                <w:color w:val="392C69"/>
                <w:sz w:val="20"/>
                <w:szCs w:val="20"/>
              </w:rPr>
              <w:t>,</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06.03.2015 </w:t>
            </w:r>
            <w:hyperlink r:id="rId18" w:history="1">
              <w:r>
                <w:rPr>
                  <w:rFonts w:ascii="Arial" w:hAnsi="Arial" w:cs="Arial"/>
                  <w:color w:val="0000FF"/>
                  <w:sz w:val="20"/>
                  <w:szCs w:val="20"/>
                </w:rPr>
                <w:t>N 201</w:t>
              </w:r>
            </w:hyperlink>
            <w:r>
              <w:rPr>
                <w:rFonts w:ascii="Arial" w:hAnsi="Arial" w:cs="Arial"/>
                <w:color w:val="392C69"/>
                <w:sz w:val="20"/>
                <w:szCs w:val="20"/>
              </w:rPr>
              <w:t xml:space="preserve">, от 28.05.2015 </w:t>
            </w:r>
            <w:hyperlink r:id="rId19" w:history="1">
              <w:r>
                <w:rPr>
                  <w:rFonts w:ascii="Arial" w:hAnsi="Arial" w:cs="Arial"/>
                  <w:color w:val="0000FF"/>
                  <w:sz w:val="20"/>
                  <w:szCs w:val="20"/>
                </w:rPr>
                <w:t>N 508</w:t>
              </w:r>
            </w:hyperlink>
            <w:r>
              <w:rPr>
                <w:rFonts w:ascii="Arial" w:hAnsi="Arial" w:cs="Arial"/>
                <w:color w:val="392C69"/>
                <w:sz w:val="20"/>
                <w:szCs w:val="20"/>
              </w:rPr>
              <w:t xml:space="preserve">, от 07.07.2015 </w:t>
            </w:r>
            <w:hyperlink r:id="rId20" w:history="1">
              <w:r>
                <w:rPr>
                  <w:rFonts w:ascii="Arial" w:hAnsi="Arial" w:cs="Arial"/>
                  <w:color w:val="0000FF"/>
                  <w:sz w:val="20"/>
                  <w:szCs w:val="20"/>
                </w:rPr>
                <w:t>N 680</w:t>
              </w:r>
            </w:hyperlink>
            <w:r>
              <w:rPr>
                <w:rFonts w:ascii="Arial" w:hAnsi="Arial" w:cs="Arial"/>
                <w:color w:val="392C69"/>
                <w:sz w:val="20"/>
                <w:szCs w:val="20"/>
              </w:rPr>
              <w:t>,</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04.09.2015 </w:t>
            </w:r>
            <w:hyperlink r:id="rId21" w:history="1">
              <w:r>
                <w:rPr>
                  <w:rFonts w:ascii="Arial" w:hAnsi="Arial" w:cs="Arial"/>
                  <w:color w:val="0000FF"/>
                  <w:sz w:val="20"/>
                  <w:szCs w:val="20"/>
                </w:rPr>
                <w:t>N 941</w:t>
              </w:r>
            </w:hyperlink>
            <w:r>
              <w:rPr>
                <w:rFonts w:ascii="Arial" w:hAnsi="Arial" w:cs="Arial"/>
                <w:color w:val="392C69"/>
                <w:sz w:val="20"/>
                <w:szCs w:val="20"/>
              </w:rPr>
              <w:t xml:space="preserve">, от 22.02.2016 </w:t>
            </w:r>
            <w:hyperlink r:id="rId22" w:history="1">
              <w:r>
                <w:rPr>
                  <w:rFonts w:ascii="Arial" w:hAnsi="Arial" w:cs="Arial"/>
                  <w:color w:val="0000FF"/>
                  <w:sz w:val="20"/>
                  <w:szCs w:val="20"/>
                </w:rPr>
                <w:t>N 128</w:t>
              </w:r>
            </w:hyperlink>
            <w:r>
              <w:rPr>
                <w:rFonts w:ascii="Arial" w:hAnsi="Arial" w:cs="Arial"/>
                <w:color w:val="392C69"/>
                <w:sz w:val="20"/>
                <w:szCs w:val="20"/>
              </w:rPr>
              <w:t xml:space="preserve">, от 17.05.2016 </w:t>
            </w:r>
            <w:hyperlink r:id="rId23" w:history="1">
              <w:r>
                <w:rPr>
                  <w:rFonts w:ascii="Arial" w:hAnsi="Arial" w:cs="Arial"/>
                  <w:color w:val="0000FF"/>
                  <w:sz w:val="20"/>
                  <w:szCs w:val="20"/>
                </w:rPr>
                <w:t>N 433</w:t>
              </w:r>
            </w:hyperlink>
            <w:r>
              <w:rPr>
                <w:rFonts w:ascii="Arial" w:hAnsi="Arial" w:cs="Arial"/>
                <w:color w:val="392C69"/>
                <w:sz w:val="20"/>
                <w:szCs w:val="20"/>
              </w:rPr>
              <w:t>,</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11.10.2016 </w:t>
            </w:r>
            <w:hyperlink r:id="rId24" w:history="1">
              <w:r>
                <w:rPr>
                  <w:rFonts w:ascii="Arial" w:hAnsi="Arial" w:cs="Arial"/>
                  <w:color w:val="0000FF"/>
                  <w:sz w:val="20"/>
                  <w:szCs w:val="20"/>
                </w:rPr>
                <w:t>N 1030</w:t>
              </w:r>
            </w:hyperlink>
            <w:r>
              <w:rPr>
                <w:rFonts w:ascii="Arial" w:hAnsi="Arial" w:cs="Arial"/>
                <w:color w:val="392C69"/>
                <w:sz w:val="20"/>
                <w:szCs w:val="20"/>
              </w:rPr>
              <w:t xml:space="preserve">, от 20.10.2016 </w:t>
            </w:r>
            <w:hyperlink r:id="rId25" w:history="1">
              <w:r>
                <w:rPr>
                  <w:rFonts w:ascii="Arial" w:hAnsi="Arial" w:cs="Arial"/>
                  <w:color w:val="0000FF"/>
                  <w:sz w:val="20"/>
                  <w:szCs w:val="20"/>
                </w:rPr>
                <w:t>N 1074</w:t>
              </w:r>
            </w:hyperlink>
            <w:r>
              <w:rPr>
                <w:rFonts w:ascii="Arial" w:hAnsi="Arial" w:cs="Arial"/>
                <w:color w:val="392C69"/>
                <w:sz w:val="20"/>
                <w:szCs w:val="20"/>
              </w:rPr>
              <w:t xml:space="preserve">, от 08.12.2016 </w:t>
            </w:r>
            <w:hyperlink r:id="rId26" w:history="1">
              <w:r>
                <w:rPr>
                  <w:rFonts w:ascii="Arial" w:hAnsi="Arial" w:cs="Arial"/>
                  <w:color w:val="0000FF"/>
                  <w:sz w:val="20"/>
                  <w:szCs w:val="20"/>
                </w:rPr>
                <w:t>N 1319</w:t>
              </w:r>
            </w:hyperlink>
            <w:r>
              <w:rPr>
                <w:rFonts w:ascii="Arial" w:hAnsi="Arial" w:cs="Arial"/>
                <w:color w:val="392C69"/>
                <w:sz w:val="20"/>
                <w:szCs w:val="20"/>
              </w:rPr>
              <w:t>,</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23.12.2016 </w:t>
            </w:r>
            <w:hyperlink r:id="rId27" w:history="1">
              <w:r>
                <w:rPr>
                  <w:rFonts w:ascii="Arial" w:hAnsi="Arial" w:cs="Arial"/>
                  <w:color w:val="0000FF"/>
                  <w:sz w:val="20"/>
                  <w:szCs w:val="20"/>
                </w:rPr>
                <w:t>N 1446</w:t>
              </w:r>
            </w:hyperlink>
            <w:r>
              <w:rPr>
                <w:rFonts w:ascii="Arial" w:hAnsi="Arial" w:cs="Arial"/>
                <w:color w:val="392C69"/>
                <w:sz w:val="20"/>
                <w:szCs w:val="20"/>
              </w:rPr>
              <w:t xml:space="preserve">, от 26.12.2016 </w:t>
            </w:r>
            <w:hyperlink r:id="rId28" w:history="1">
              <w:r>
                <w:rPr>
                  <w:rFonts w:ascii="Arial" w:hAnsi="Arial" w:cs="Arial"/>
                  <w:color w:val="0000FF"/>
                  <w:sz w:val="20"/>
                  <w:szCs w:val="20"/>
                </w:rPr>
                <w:t>N 1498</w:t>
              </w:r>
            </w:hyperlink>
            <w:r>
              <w:rPr>
                <w:rFonts w:ascii="Arial" w:hAnsi="Arial" w:cs="Arial"/>
                <w:color w:val="392C69"/>
                <w:sz w:val="20"/>
                <w:szCs w:val="20"/>
              </w:rPr>
              <w:t xml:space="preserve">, от 04.02.2017 </w:t>
            </w:r>
            <w:hyperlink r:id="rId29" w:history="1">
              <w:r>
                <w:rPr>
                  <w:rFonts w:ascii="Arial" w:hAnsi="Arial" w:cs="Arial"/>
                  <w:color w:val="0000FF"/>
                  <w:sz w:val="20"/>
                  <w:szCs w:val="20"/>
                </w:rPr>
                <w:t>N 139</w:t>
              </w:r>
            </w:hyperlink>
            <w:r>
              <w:rPr>
                <w:rFonts w:ascii="Arial" w:hAnsi="Arial" w:cs="Arial"/>
                <w:color w:val="392C69"/>
                <w:sz w:val="20"/>
                <w:szCs w:val="20"/>
              </w:rPr>
              <w:t>,</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07.05.2017 </w:t>
            </w:r>
            <w:hyperlink r:id="rId30" w:history="1">
              <w:r>
                <w:rPr>
                  <w:rFonts w:ascii="Arial" w:hAnsi="Arial" w:cs="Arial"/>
                  <w:color w:val="0000FF"/>
                  <w:sz w:val="20"/>
                  <w:szCs w:val="20"/>
                </w:rPr>
                <w:t>N 542</w:t>
              </w:r>
            </w:hyperlink>
            <w:r>
              <w:rPr>
                <w:rFonts w:ascii="Arial" w:hAnsi="Arial" w:cs="Arial"/>
                <w:color w:val="392C69"/>
                <w:sz w:val="20"/>
                <w:szCs w:val="20"/>
              </w:rPr>
              <w:t xml:space="preserve">, от 11.05.2017 </w:t>
            </w:r>
            <w:hyperlink r:id="rId31" w:history="1">
              <w:r>
                <w:rPr>
                  <w:rFonts w:ascii="Arial" w:hAnsi="Arial" w:cs="Arial"/>
                  <w:color w:val="0000FF"/>
                  <w:sz w:val="20"/>
                  <w:szCs w:val="20"/>
                </w:rPr>
                <w:t>N 557</w:t>
              </w:r>
            </w:hyperlink>
            <w:r>
              <w:rPr>
                <w:rFonts w:ascii="Arial" w:hAnsi="Arial" w:cs="Arial"/>
                <w:color w:val="392C69"/>
                <w:sz w:val="20"/>
                <w:szCs w:val="20"/>
              </w:rPr>
              <w:t xml:space="preserve">, от 24.05.2017 </w:t>
            </w:r>
            <w:hyperlink r:id="rId32" w:history="1">
              <w:r>
                <w:rPr>
                  <w:rFonts w:ascii="Arial" w:hAnsi="Arial" w:cs="Arial"/>
                  <w:color w:val="0000FF"/>
                  <w:sz w:val="20"/>
                  <w:szCs w:val="20"/>
                </w:rPr>
                <w:t>N 624</w:t>
              </w:r>
            </w:hyperlink>
            <w:r>
              <w:rPr>
                <w:rFonts w:ascii="Arial" w:hAnsi="Arial" w:cs="Arial"/>
                <w:color w:val="392C69"/>
                <w:sz w:val="20"/>
                <w:szCs w:val="20"/>
              </w:rPr>
              <w:t>,</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07.07.2017 </w:t>
            </w:r>
            <w:hyperlink r:id="rId33" w:history="1">
              <w:r>
                <w:rPr>
                  <w:rFonts w:ascii="Arial" w:hAnsi="Arial" w:cs="Arial"/>
                  <w:color w:val="0000FF"/>
                  <w:sz w:val="20"/>
                  <w:szCs w:val="20"/>
                </w:rPr>
                <w:t>N 810</w:t>
              </w:r>
            </w:hyperlink>
            <w:r>
              <w:rPr>
                <w:rFonts w:ascii="Arial" w:hAnsi="Arial" w:cs="Arial"/>
                <w:color w:val="392C69"/>
                <w:sz w:val="20"/>
                <w:szCs w:val="20"/>
              </w:rPr>
              <w:t xml:space="preserve">, от 21.07.2017 </w:t>
            </w:r>
            <w:hyperlink r:id="rId34" w:history="1">
              <w:r>
                <w:rPr>
                  <w:rFonts w:ascii="Arial" w:hAnsi="Arial" w:cs="Arial"/>
                  <w:color w:val="0000FF"/>
                  <w:sz w:val="20"/>
                  <w:szCs w:val="20"/>
                </w:rPr>
                <w:t>N 863</w:t>
              </w:r>
            </w:hyperlink>
            <w:r>
              <w:rPr>
                <w:rFonts w:ascii="Arial" w:hAnsi="Arial" w:cs="Arial"/>
                <w:color w:val="392C69"/>
                <w:sz w:val="20"/>
                <w:szCs w:val="20"/>
              </w:rPr>
              <w:t xml:space="preserve">, от 28.07.2017 </w:t>
            </w:r>
            <w:hyperlink r:id="rId35" w:history="1">
              <w:r>
                <w:rPr>
                  <w:rFonts w:ascii="Arial" w:hAnsi="Arial" w:cs="Arial"/>
                  <w:color w:val="0000FF"/>
                  <w:sz w:val="20"/>
                  <w:szCs w:val="20"/>
                </w:rPr>
                <w:t>N 895</w:t>
              </w:r>
            </w:hyperlink>
            <w:r>
              <w:rPr>
                <w:rFonts w:ascii="Arial" w:hAnsi="Arial" w:cs="Arial"/>
                <w:color w:val="392C69"/>
                <w:sz w:val="20"/>
                <w:szCs w:val="20"/>
              </w:rPr>
              <w:t>,</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28.08.2017 </w:t>
            </w:r>
            <w:hyperlink r:id="rId36" w:history="1">
              <w:r>
                <w:rPr>
                  <w:rFonts w:ascii="Arial" w:hAnsi="Arial" w:cs="Arial"/>
                  <w:color w:val="0000FF"/>
                  <w:sz w:val="20"/>
                  <w:szCs w:val="20"/>
                </w:rPr>
                <w:t>N 1016</w:t>
              </w:r>
            </w:hyperlink>
            <w:r>
              <w:rPr>
                <w:rFonts w:ascii="Arial" w:hAnsi="Arial" w:cs="Arial"/>
                <w:color w:val="392C69"/>
                <w:sz w:val="20"/>
                <w:szCs w:val="20"/>
              </w:rPr>
              <w:t xml:space="preserve">, от 28.10.2017 </w:t>
            </w:r>
            <w:hyperlink r:id="rId37" w:history="1">
              <w:r>
                <w:rPr>
                  <w:rFonts w:ascii="Arial" w:hAnsi="Arial" w:cs="Arial"/>
                  <w:color w:val="0000FF"/>
                  <w:sz w:val="20"/>
                  <w:szCs w:val="20"/>
                </w:rPr>
                <w:t>N 1311</w:t>
              </w:r>
            </w:hyperlink>
            <w:r>
              <w:rPr>
                <w:rFonts w:ascii="Arial" w:hAnsi="Arial" w:cs="Arial"/>
                <w:color w:val="392C69"/>
                <w:sz w:val="20"/>
                <w:szCs w:val="20"/>
              </w:rPr>
              <w:t xml:space="preserve">, от 10.11.2017 </w:t>
            </w:r>
            <w:hyperlink r:id="rId38" w:history="1">
              <w:r>
                <w:rPr>
                  <w:rFonts w:ascii="Arial" w:hAnsi="Arial" w:cs="Arial"/>
                  <w:color w:val="0000FF"/>
                  <w:sz w:val="20"/>
                  <w:szCs w:val="20"/>
                </w:rPr>
                <w:t>N 1351</w:t>
              </w:r>
            </w:hyperlink>
            <w:r>
              <w:rPr>
                <w:rFonts w:ascii="Arial" w:hAnsi="Arial" w:cs="Arial"/>
                <w:color w:val="392C69"/>
                <w:sz w:val="20"/>
                <w:szCs w:val="20"/>
              </w:rPr>
              <w:t>,</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11.11.2017 </w:t>
            </w:r>
            <w:hyperlink r:id="rId39" w:history="1">
              <w:r>
                <w:rPr>
                  <w:rFonts w:ascii="Arial" w:hAnsi="Arial" w:cs="Arial"/>
                  <w:color w:val="0000FF"/>
                  <w:sz w:val="20"/>
                  <w:szCs w:val="20"/>
                </w:rPr>
                <w:t>N 1365</w:t>
              </w:r>
            </w:hyperlink>
            <w:r>
              <w:rPr>
                <w:rFonts w:ascii="Arial" w:hAnsi="Arial" w:cs="Arial"/>
                <w:color w:val="392C69"/>
                <w:sz w:val="20"/>
                <w:szCs w:val="20"/>
              </w:rPr>
              <w:t xml:space="preserve">, от 30.12.2017 </w:t>
            </w:r>
            <w:hyperlink r:id="rId40" w:history="1">
              <w:r>
                <w:rPr>
                  <w:rFonts w:ascii="Arial" w:hAnsi="Arial" w:cs="Arial"/>
                  <w:color w:val="0000FF"/>
                  <w:sz w:val="20"/>
                  <w:szCs w:val="20"/>
                </w:rPr>
                <w:t>N 1707</w:t>
              </w:r>
            </w:hyperlink>
            <w:r>
              <w:rPr>
                <w:rFonts w:ascii="Arial" w:hAnsi="Arial" w:cs="Arial"/>
                <w:color w:val="392C69"/>
                <w:sz w:val="20"/>
                <w:szCs w:val="20"/>
              </w:rPr>
              <w:t xml:space="preserve">, от 29.06.2018 </w:t>
            </w:r>
            <w:hyperlink r:id="rId41" w:history="1">
              <w:r>
                <w:rPr>
                  <w:rFonts w:ascii="Arial" w:hAnsi="Arial" w:cs="Arial"/>
                  <w:color w:val="0000FF"/>
                  <w:sz w:val="20"/>
                  <w:szCs w:val="20"/>
                </w:rPr>
                <w:t>N 749</w:t>
              </w:r>
            </w:hyperlink>
            <w:r>
              <w:rPr>
                <w:rFonts w:ascii="Arial" w:hAnsi="Arial" w:cs="Arial"/>
                <w:color w:val="392C69"/>
                <w:sz w:val="20"/>
                <w:szCs w:val="20"/>
              </w:rPr>
              <w:t>,</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30.06.2018 </w:t>
            </w:r>
            <w:hyperlink r:id="rId42" w:history="1">
              <w:r>
                <w:rPr>
                  <w:rFonts w:ascii="Arial" w:hAnsi="Arial" w:cs="Arial"/>
                  <w:color w:val="0000FF"/>
                  <w:sz w:val="20"/>
                  <w:szCs w:val="20"/>
                </w:rPr>
                <w:t>N 761</w:t>
              </w:r>
            </w:hyperlink>
            <w:r>
              <w:rPr>
                <w:rFonts w:ascii="Arial" w:hAnsi="Arial" w:cs="Arial"/>
                <w:color w:val="392C69"/>
                <w:sz w:val="20"/>
                <w:szCs w:val="20"/>
              </w:rPr>
              <w:t xml:space="preserve">, от 26.07.2018 </w:t>
            </w:r>
            <w:hyperlink r:id="rId43" w:history="1">
              <w:r>
                <w:rPr>
                  <w:rFonts w:ascii="Arial" w:hAnsi="Arial" w:cs="Arial"/>
                  <w:color w:val="0000FF"/>
                  <w:sz w:val="20"/>
                  <w:szCs w:val="20"/>
                </w:rPr>
                <w:t>N 875</w:t>
              </w:r>
            </w:hyperlink>
            <w:r>
              <w:rPr>
                <w:rFonts w:ascii="Arial" w:hAnsi="Arial" w:cs="Arial"/>
                <w:color w:val="392C69"/>
                <w:sz w:val="20"/>
                <w:szCs w:val="20"/>
              </w:rPr>
              <w:t xml:space="preserve">, от 13.08.2018 </w:t>
            </w:r>
            <w:hyperlink r:id="rId44" w:history="1">
              <w:r>
                <w:rPr>
                  <w:rFonts w:ascii="Arial" w:hAnsi="Arial" w:cs="Arial"/>
                  <w:color w:val="0000FF"/>
                  <w:sz w:val="20"/>
                  <w:szCs w:val="20"/>
                </w:rPr>
                <w:t>N 937</w:t>
              </w:r>
            </w:hyperlink>
            <w:r>
              <w:rPr>
                <w:rFonts w:ascii="Arial" w:hAnsi="Arial" w:cs="Arial"/>
                <w:color w:val="392C69"/>
                <w:sz w:val="20"/>
                <w:szCs w:val="20"/>
              </w:rPr>
              <w:t>,</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17.09.2018 </w:t>
            </w:r>
            <w:hyperlink r:id="rId45" w:history="1">
              <w:r>
                <w:rPr>
                  <w:rFonts w:ascii="Arial" w:hAnsi="Arial" w:cs="Arial"/>
                  <w:color w:val="0000FF"/>
                  <w:sz w:val="20"/>
                  <w:szCs w:val="20"/>
                </w:rPr>
                <w:t>N 1096</w:t>
              </w:r>
            </w:hyperlink>
            <w:r>
              <w:rPr>
                <w:rFonts w:ascii="Arial" w:hAnsi="Arial" w:cs="Arial"/>
                <w:color w:val="392C69"/>
                <w:sz w:val="20"/>
                <w:szCs w:val="20"/>
              </w:rPr>
              <w:t xml:space="preserve">, от 27.09.2018 </w:t>
            </w:r>
            <w:hyperlink r:id="rId46" w:history="1">
              <w:r>
                <w:rPr>
                  <w:rFonts w:ascii="Arial" w:hAnsi="Arial" w:cs="Arial"/>
                  <w:color w:val="0000FF"/>
                  <w:sz w:val="20"/>
                  <w:szCs w:val="20"/>
                </w:rPr>
                <w:t>N 1145</w:t>
              </w:r>
            </w:hyperlink>
            <w:r>
              <w:rPr>
                <w:rFonts w:ascii="Arial" w:hAnsi="Arial" w:cs="Arial"/>
                <w:color w:val="392C69"/>
                <w:sz w:val="20"/>
                <w:szCs w:val="20"/>
              </w:rPr>
              <w:t xml:space="preserve">, от 08.12.2018 </w:t>
            </w:r>
            <w:hyperlink r:id="rId47" w:history="1">
              <w:r>
                <w:rPr>
                  <w:rFonts w:ascii="Arial" w:hAnsi="Arial" w:cs="Arial"/>
                  <w:color w:val="0000FF"/>
                  <w:sz w:val="20"/>
                  <w:szCs w:val="20"/>
                </w:rPr>
                <w:t>N 1496</w:t>
              </w:r>
            </w:hyperlink>
            <w:r>
              <w:rPr>
                <w:rFonts w:ascii="Arial" w:hAnsi="Arial" w:cs="Arial"/>
                <w:color w:val="392C69"/>
                <w:sz w:val="20"/>
                <w:szCs w:val="20"/>
              </w:rPr>
              <w:t>,</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21.12.2018 </w:t>
            </w:r>
            <w:hyperlink r:id="rId48" w:history="1">
              <w:r>
                <w:rPr>
                  <w:rFonts w:ascii="Arial" w:hAnsi="Arial" w:cs="Arial"/>
                  <w:color w:val="0000FF"/>
                  <w:sz w:val="20"/>
                  <w:szCs w:val="20"/>
                </w:rPr>
                <w:t>N 1622</w:t>
              </w:r>
            </w:hyperlink>
            <w:r>
              <w:rPr>
                <w:rFonts w:ascii="Arial" w:hAnsi="Arial" w:cs="Arial"/>
                <w:color w:val="392C69"/>
                <w:sz w:val="20"/>
                <w:szCs w:val="20"/>
              </w:rPr>
              <w:t xml:space="preserve">, от 30.01.2019 </w:t>
            </w:r>
            <w:hyperlink r:id="rId49" w:history="1">
              <w:r>
                <w:rPr>
                  <w:rFonts w:ascii="Arial" w:hAnsi="Arial" w:cs="Arial"/>
                  <w:color w:val="0000FF"/>
                  <w:sz w:val="20"/>
                  <w:szCs w:val="20"/>
                </w:rPr>
                <w:t>N 64</w:t>
              </w:r>
            </w:hyperlink>
            <w:r>
              <w:rPr>
                <w:rFonts w:ascii="Arial" w:hAnsi="Arial" w:cs="Arial"/>
                <w:color w:val="392C69"/>
                <w:sz w:val="20"/>
                <w:szCs w:val="20"/>
              </w:rPr>
              <w:t xml:space="preserve">, от 02.03.2019 </w:t>
            </w:r>
            <w:hyperlink r:id="rId50" w:history="1">
              <w:r>
                <w:rPr>
                  <w:rFonts w:ascii="Arial" w:hAnsi="Arial" w:cs="Arial"/>
                  <w:color w:val="0000FF"/>
                  <w:sz w:val="20"/>
                  <w:szCs w:val="20"/>
                </w:rPr>
                <w:t>N 227</w:t>
              </w:r>
            </w:hyperlink>
            <w:r>
              <w:rPr>
                <w:rFonts w:ascii="Arial" w:hAnsi="Arial" w:cs="Arial"/>
                <w:color w:val="392C69"/>
                <w:sz w:val="20"/>
                <w:szCs w:val="20"/>
              </w:rPr>
              <w:t>,</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22.06.2019 </w:t>
            </w:r>
            <w:hyperlink r:id="rId51" w:history="1">
              <w:r>
                <w:rPr>
                  <w:rFonts w:ascii="Arial" w:hAnsi="Arial" w:cs="Arial"/>
                  <w:color w:val="0000FF"/>
                  <w:sz w:val="20"/>
                  <w:szCs w:val="20"/>
                </w:rPr>
                <w:t>N 800</w:t>
              </w:r>
            </w:hyperlink>
            <w:r>
              <w:rPr>
                <w:rFonts w:ascii="Arial" w:hAnsi="Arial" w:cs="Arial"/>
                <w:color w:val="392C69"/>
                <w:sz w:val="20"/>
                <w:szCs w:val="20"/>
              </w:rPr>
              <w:t xml:space="preserve">, от 31.12.2019 </w:t>
            </w:r>
            <w:hyperlink r:id="rId52" w:history="1">
              <w:r>
                <w:rPr>
                  <w:rFonts w:ascii="Arial" w:hAnsi="Arial" w:cs="Arial"/>
                  <w:color w:val="0000FF"/>
                  <w:sz w:val="20"/>
                  <w:szCs w:val="20"/>
                </w:rPr>
                <w:t>N 1947</w:t>
              </w:r>
            </w:hyperlink>
            <w:r>
              <w:rPr>
                <w:rFonts w:ascii="Arial" w:hAnsi="Arial" w:cs="Arial"/>
                <w:color w:val="392C69"/>
                <w:sz w:val="20"/>
                <w:szCs w:val="20"/>
              </w:rPr>
              <w:t xml:space="preserve">, от 07.03.2020 </w:t>
            </w:r>
            <w:hyperlink r:id="rId53" w:history="1">
              <w:r>
                <w:rPr>
                  <w:rFonts w:ascii="Arial" w:hAnsi="Arial" w:cs="Arial"/>
                  <w:color w:val="0000FF"/>
                  <w:sz w:val="20"/>
                  <w:szCs w:val="20"/>
                </w:rPr>
                <w:t>N 246</w:t>
              </w:r>
            </w:hyperlink>
            <w:r>
              <w:rPr>
                <w:rFonts w:ascii="Arial" w:hAnsi="Arial" w:cs="Arial"/>
                <w:color w:val="392C69"/>
                <w:sz w:val="20"/>
                <w:szCs w:val="20"/>
              </w:rPr>
              <w:t>,</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10.03.2020 </w:t>
            </w:r>
            <w:hyperlink r:id="rId54" w:history="1">
              <w:r>
                <w:rPr>
                  <w:rFonts w:ascii="Arial" w:hAnsi="Arial" w:cs="Arial"/>
                  <w:color w:val="0000FF"/>
                  <w:sz w:val="20"/>
                  <w:szCs w:val="20"/>
                </w:rPr>
                <w:t>N 262</w:t>
              </w:r>
            </w:hyperlink>
            <w:r>
              <w:rPr>
                <w:rFonts w:ascii="Arial" w:hAnsi="Arial" w:cs="Arial"/>
                <w:color w:val="392C69"/>
                <w:sz w:val="20"/>
                <w:szCs w:val="20"/>
              </w:rPr>
              <w:t xml:space="preserve">, от 01.04.2020 </w:t>
            </w:r>
            <w:hyperlink r:id="rId55" w:history="1">
              <w:r>
                <w:rPr>
                  <w:rFonts w:ascii="Arial" w:hAnsi="Arial" w:cs="Arial"/>
                  <w:color w:val="0000FF"/>
                  <w:sz w:val="20"/>
                  <w:szCs w:val="20"/>
                </w:rPr>
                <w:t>N 403</w:t>
              </w:r>
            </w:hyperlink>
            <w:r>
              <w:rPr>
                <w:rFonts w:ascii="Arial" w:hAnsi="Arial" w:cs="Arial"/>
                <w:color w:val="392C69"/>
                <w:sz w:val="20"/>
                <w:szCs w:val="20"/>
              </w:rPr>
              <w:t xml:space="preserve">, от 18.04.2020 </w:t>
            </w:r>
            <w:hyperlink r:id="rId56" w:history="1">
              <w:r>
                <w:rPr>
                  <w:rFonts w:ascii="Arial" w:hAnsi="Arial" w:cs="Arial"/>
                  <w:color w:val="0000FF"/>
                  <w:sz w:val="20"/>
                  <w:szCs w:val="20"/>
                </w:rPr>
                <w:t>N 554</w:t>
              </w:r>
            </w:hyperlink>
            <w:r>
              <w:rPr>
                <w:rFonts w:ascii="Arial" w:hAnsi="Arial" w:cs="Arial"/>
                <w:color w:val="392C69"/>
                <w:sz w:val="20"/>
                <w:szCs w:val="20"/>
              </w:rPr>
              <w:t>,</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30.04.2020 </w:t>
            </w:r>
            <w:hyperlink r:id="rId57" w:history="1">
              <w:r>
                <w:rPr>
                  <w:rFonts w:ascii="Arial" w:hAnsi="Arial" w:cs="Arial"/>
                  <w:color w:val="0000FF"/>
                  <w:sz w:val="20"/>
                  <w:szCs w:val="20"/>
                </w:rPr>
                <w:t>N 628</w:t>
              </w:r>
            </w:hyperlink>
            <w:r>
              <w:rPr>
                <w:rFonts w:ascii="Arial" w:hAnsi="Arial" w:cs="Arial"/>
                <w:color w:val="392C69"/>
                <w:sz w:val="20"/>
                <w:szCs w:val="20"/>
              </w:rPr>
              <w:t>,</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с изм., внесенными </w:t>
            </w:r>
            <w:hyperlink r:id="rId58" w:history="1">
              <w:r>
                <w:rPr>
                  <w:rFonts w:ascii="Arial" w:hAnsi="Arial" w:cs="Arial"/>
                  <w:color w:val="0000FF"/>
                  <w:sz w:val="20"/>
                  <w:szCs w:val="20"/>
                </w:rPr>
                <w:t>решением</w:t>
              </w:r>
            </w:hyperlink>
            <w:r>
              <w:rPr>
                <w:rFonts w:ascii="Arial" w:hAnsi="Arial" w:cs="Arial"/>
                <w:color w:val="392C69"/>
                <w:sz w:val="20"/>
                <w:szCs w:val="20"/>
              </w:rPr>
              <w:t xml:space="preserve"> ВАС РФ от 21.05.2013 N ВАС-15415/12)</w:t>
            </w:r>
          </w:p>
        </w:tc>
      </w:tr>
      <w:bookmarkEnd w:id="0"/>
    </w:tbl>
    <w:p w:rsidR="009F5AFE" w:rsidRDefault="009F5AFE" w:rsidP="009F5AFE">
      <w:pPr>
        <w:autoSpaceDE w:val="0"/>
        <w:autoSpaceDN w:val="0"/>
        <w:adjustRightInd w:val="0"/>
        <w:spacing w:after="0" w:line="240" w:lineRule="auto"/>
        <w:jc w:val="center"/>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В соответствии с Федеральным законом "Об электроэнергетике" Правительство Российской Федерации постановляет: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 Утвердить прилагаемые: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Основные </w:t>
      </w:r>
      <w:hyperlink w:anchor="Par83" w:history="1">
        <w:r>
          <w:rPr>
            <w:rFonts w:ascii="Arial" w:hAnsi="Arial" w:cs="Arial"/>
            <w:color w:val="0000FF"/>
            <w:sz w:val="20"/>
            <w:szCs w:val="20"/>
          </w:rPr>
          <w:t>положения</w:t>
        </w:r>
      </w:hyperlink>
      <w:r>
        <w:rPr>
          <w:rFonts w:ascii="Arial" w:hAnsi="Arial" w:cs="Arial"/>
          <w:sz w:val="20"/>
          <w:szCs w:val="20"/>
        </w:rPr>
        <w:t xml:space="preserve"> функционирования розничных рынков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w:anchor="Par3675" w:history="1">
        <w:r>
          <w:rPr>
            <w:rFonts w:ascii="Arial" w:hAnsi="Arial" w:cs="Arial"/>
            <w:color w:val="0000FF"/>
            <w:sz w:val="20"/>
            <w:szCs w:val="20"/>
          </w:rPr>
          <w:t>Правила</w:t>
        </w:r>
      </w:hyperlink>
      <w:r>
        <w:rPr>
          <w:rFonts w:ascii="Arial" w:hAnsi="Arial" w:cs="Arial"/>
          <w:sz w:val="20"/>
          <w:szCs w:val="20"/>
        </w:rPr>
        <w:t xml:space="preserve"> полного и (или) частичного ограничения режима потребления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w:anchor="Par4213" w:history="1">
        <w:r>
          <w:rPr>
            <w:rFonts w:ascii="Arial" w:hAnsi="Arial" w:cs="Arial"/>
            <w:color w:val="0000FF"/>
            <w:sz w:val="20"/>
            <w:szCs w:val="20"/>
          </w:rPr>
          <w:t>изменения</w:t>
        </w:r>
      </w:hyperlink>
      <w:r>
        <w:rPr>
          <w:rFonts w:ascii="Arial" w:hAnsi="Arial" w:cs="Arial"/>
          <w:sz w:val="20"/>
          <w:szCs w:val="20"/>
        </w:rPr>
        <w:t>, которые вносятся в акты Правительства Российской Федерации по вопросам функционирования розничных рынков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Установить, что:</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 настоящее постановление применяется к отношениям, вытекающим из публичных договоров, ранее заключенных на розничных рынках электрической энергии (далее - розничные рынки), в части прав и обязанностей, которые возникнут после вступления его в силу;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б) настоящее постановление применяется при расчете обязательств по продаже и покупке электрической энергии (мощности) на оптовом рынке электрической энергии (мощности) (далее - оптовый рынок) и розничных рынках начиная с апреля 2012 г.;</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положения настоящего постановления, установленные для потребителей, максимальная мощность энергопринимающих устройств которых в границах балансовой принадлежности составляет не менее 670 кВт, применяются также к потребителям (покупателям), к которым применялись положения </w:t>
      </w:r>
      <w:hyperlink r:id="rId59" w:history="1">
        <w:r>
          <w:rPr>
            <w:rFonts w:ascii="Arial" w:hAnsi="Arial" w:cs="Arial"/>
            <w:color w:val="0000FF"/>
            <w:sz w:val="20"/>
            <w:szCs w:val="20"/>
          </w:rPr>
          <w:t>постановления</w:t>
        </w:r>
      </w:hyperlink>
      <w:r>
        <w:rPr>
          <w:rFonts w:ascii="Arial" w:hAnsi="Arial" w:cs="Arial"/>
          <w:sz w:val="20"/>
          <w:szCs w:val="20"/>
        </w:rPr>
        <w:t xml:space="preserve"> Правительства Российской Федерации от 31 августа 2006 г. N 530 "Об утверждении основных положений </w:t>
      </w:r>
      <w:r>
        <w:rPr>
          <w:rFonts w:ascii="Arial" w:hAnsi="Arial" w:cs="Arial"/>
          <w:sz w:val="20"/>
          <w:szCs w:val="20"/>
        </w:rPr>
        <w:lastRenderedPageBreak/>
        <w:t>функционирования розничных рынков электрической энергии", установленные для потребителей, присоединенная мощность энергопринимающих устройств которых в границах балансовой принадлежности превышает 750 кВА, до 1 января 2017 г.;</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60"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17.05.2016 N 433)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 положения настоящего постановления о точках поставки по договору оказания услуг по передаче электрической энергии применяются к условиям о точках присоединения, предусмотренным в ранее заключенных договорах оказания услуг по передаче электрической энергии, до приведения таких договоров в соответствие с настоящим постановлением;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д) расчетные способы, кроме расчетных способов определения объемов безучетного и бездоговорного потребления электрической энергии, и порядок их применения, установленные Основными </w:t>
      </w:r>
      <w:hyperlink w:anchor="Par83" w:history="1">
        <w:r>
          <w:rPr>
            <w:rFonts w:ascii="Arial" w:hAnsi="Arial" w:cs="Arial"/>
            <w:color w:val="0000FF"/>
            <w:sz w:val="20"/>
            <w:szCs w:val="20"/>
          </w:rPr>
          <w:t>положениями</w:t>
        </w:r>
      </w:hyperlink>
      <w:r>
        <w:rPr>
          <w:rFonts w:ascii="Arial" w:hAnsi="Arial" w:cs="Arial"/>
          <w:sz w:val="20"/>
          <w:szCs w:val="20"/>
        </w:rPr>
        <w:t xml:space="preserve"> функционирования розничных рынков электрической энергии, утвержденными настоящим постановлением, применяются с 1 июля 2012 г., а до 1 января 2013 г. - с коэффициентом 0,8 к соответствующему объему, полученному в результате применения расчетного способа;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е) разработка и внедрение стандартов качества обслуживания потребителей (покупателей) в соответствии с требованиями, установленными Основными </w:t>
      </w:r>
      <w:hyperlink w:anchor="Par83" w:history="1">
        <w:r>
          <w:rPr>
            <w:rFonts w:ascii="Arial" w:hAnsi="Arial" w:cs="Arial"/>
            <w:color w:val="0000FF"/>
            <w:sz w:val="20"/>
            <w:szCs w:val="20"/>
          </w:rPr>
          <w:t>положениями</w:t>
        </w:r>
      </w:hyperlink>
      <w:r>
        <w:rPr>
          <w:rFonts w:ascii="Arial" w:hAnsi="Arial" w:cs="Arial"/>
          <w:sz w:val="20"/>
          <w:szCs w:val="20"/>
        </w:rPr>
        <w:t xml:space="preserve"> функционирования розничных рынков электрической энергии, утвержденными настоящим постановлением, и программ мероприятий по повышению качества обслуживания потребителей (покупателей) осуществляются гарантирующими поставщиками до 1 мая 2013 г.;</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ж) направление потребителям услуг по передаче электрической энергии, а также потребителям (покупателям) по договору энергоснабжения уведомлений о необходимости включения в указанные договоры величины максимальной мощности энергопринимающих устройств, определенной в соответствии с </w:t>
      </w:r>
      <w:hyperlink r:id="rId61" w:history="1">
        <w:r>
          <w:rPr>
            <w:rFonts w:ascii="Arial" w:hAnsi="Arial" w:cs="Arial"/>
            <w:color w:val="0000FF"/>
            <w:sz w:val="20"/>
            <w:szCs w:val="20"/>
          </w:rPr>
          <w:t>Правилами</w:t>
        </w:r>
      </w:hyperlink>
      <w:r>
        <w:rPr>
          <w:rFonts w:ascii="Arial" w:hAnsi="Arial" w:cs="Arial"/>
          <w:sz w:val="20"/>
          <w:szCs w:val="20"/>
        </w:rP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осуществляется соответственно сетевыми организациями и гарантирующими поставщиками в 2-месячный срок;</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з) информация об установленных Основными </w:t>
      </w:r>
      <w:hyperlink w:anchor="Par83" w:history="1">
        <w:r>
          <w:rPr>
            <w:rFonts w:ascii="Arial" w:hAnsi="Arial" w:cs="Arial"/>
            <w:color w:val="0000FF"/>
            <w:sz w:val="20"/>
            <w:szCs w:val="20"/>
          </w:rPr>
          <w:t>положениями</w:t>
        </w:r>
      </w:hyperlink>
      <w:r>
        <w:rPr>
          <w:rFonts w:ascii="Arial" w:hAnsi="Arial" w:cs="Arial"/>
          <w:sz w:val="20"/>
          <w:szCs w:val="20"/>
        </w:rPr>
        <w:t xml:space="preserve"> функционирования розничных рынков электрической энергии, утвержденными настоящим постановлением, расчетных способах, подлежащих применению в случаях отсутствия прибора учета, недопуска к прибору учета для целей проведения контрольного снятия его показаний, проведения проверки его состояния, а также в случаях непредоставления показаний приборов учета и выявления фактов безучетного и бездоговорного потребления электрической энергии, доводится до потребителей (покупателей) в счетах на оплату электрической энергии (мощности), выставляемых до 1 июля 2012 г., а также на официальных сайтах гарантирующих поставщиков в информационно-телекоммуникационной сети "Интернет";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и) лицо, которое владеет на праве собственности или на ином законном основании объектом (частью объекта) по производству электрической энергии (мощности) (в том числе электростанцией), указанным в </w:t>
      </w:r>
      <w:hyperlink r:id="rId62" w:history="1">
        <w:r>
          <w:rPr>
            <w:rFonts w:ascii="Arial" w:hAnsi="Arial" w:cs="Arial"/>
            <w:color w:val="0000FF"/>
            <w:sz w:val="20"/>
            <w:szCs w:val="20"/>
          </w:rPr>
          <w:t>абзаце первом пункта 31</w:t>
        </w:r>
      </w:hyperlink>
      <w:r>
        <w:rPr>
          <w:rFonts w:ascii="Arial" w:hAnsi="Arial" w:cs="Arial"/>
          <w:sz w:val="20"/>
          <w:szCs w:val="20"/>
        </w:rPr>
        <w:t xml:space="preserve"> Правил оптового рынка электрической энергии и мощности, утвержденных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и не получило в отношении электростанции в целом подтверждение о нераспространении требования Федерального </w:t>
      </w:r>
      <w:hyperlink r:id="rId63" w:history="1">
        <w:r>
          <w:rPr>
            <w:rFonts w:ascii="Arial" w:hAnsi="Arial" w:cs="Arial"/>
            <w:color w:val="0000FF"/>
            <w:sz w:val="20"/>
            <w:szCs w:val="20"/>
          </w:rPr>
          <w:t>закона</w:t>
        </w:r>
      </w:hyperlink>
      <w:r>
        <w:rPr>
          <w:rFonts w:ascii="Arial" w:hAnsi="Arial" w:cs="Arial"/>
          <w:sz w:val="20"/>
          <w:szCs w:val="20"/>
        </w:rPr>
        <w:t xml:space="preserve"> "Об электроэнергетике" о реализации всей производимой электрической энергии и мощности только на оптовом рынке, вправе реализовывать всю производимую на таком объекте (части такого объекта) электрическую энергию только на оптовом рынке;</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(пп. "и" в ред. </w:t>
      </w:r>
      <w:hyperlink r:id="rId64"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07.07.2017 N 810)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к) контроль за соблюдением гарантирующими поставщиками </w:t>
      </w:r>
      <w:hyperlink r:id="rId65" w:history="1">
        <w:r>
          <w:rPr>
            <w:rFonts w:ascii="Arial" w:hAnsi="Arial" w:cs="Arial"/>
            <w:color w:val="0000FF"/>
            <w:sz w:val="20"/>
            <w:szCs w:val="20"/>
          </w:rPr>
          <w:t>Правил</w:t>
        </w:r>
      </w:hyperlink>
      <w:r>
        <w:rPr>
          <w:rFonts w:ascii="Arial" w:hAnsi="Arial" w:cs="Arial"/>
          <w:sz w:val="20"/>
          <w:szCs w:val="20"/>
        </w:rPr>
        <w:t xml:space="preserve"> определения и применения гарантирующими поставщиками нерегулируемых цен на электрическую энергию (мощность), утвержденных постановлением Правительства Российской Федерации от 29 декабря 2011 г. N 1179, осуществляют федеральный антимонопольный орган и органы исполнительной власти субъектов Российской Федерации в области государственного регулирования тарифов в порядке, определенном Правительством Российской Федерации;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л) сбытовые надбавки гарантирующих поставщиков в виде формулы для группы (подгрупп) "прочие потребители" устанавливаются на 2012 год органами исполнительной власти субъектов Российской </w:t>
      </w:r>
      <w:r>
        <w:rPr>
          <w:rFonts w:ascii="Arial" w:hAnsi="Arial" w:cs="Arial"/>
          <w:sz w:val="20"/>
          <w:szCs w:val="20"/>
        </w:rPr>
        <w:lastRenderedPageBreak/>
        <w:t xml:space="preserve">Федерации в области государственного регулирования тарифов в срок, не превышающий 2 месяцев со дня вступления в силу методических указаний, предусмотренных </w:t>
      </w:r>
      <w:hyperlink w:anchor="Par58" w:history="1">
        <w:r>
          <w:rPr>
            <w:rFonts w:ascii="Arial" w:hAnsi="Arial" w:cs="Arial"/>
            <w:color w:val="0000FF"/>
            <w:sz w:val="20"/>
            <w:szCs w:val="20"/>
          </w:rPr>
          <w:t>пунктом 6</w:t>
        </w:r>
      </w:hyperlink>
      <w:r>
        <w:rPr>
          <w:rFonts w:ascii="Arial" w:hAnsi="Arial" w:cs="Arial"/>
          <w:sz w:val="20"/>
          <w:szCs w:val="20"/>
        </w:rPr>
        <w:t xml:space="preserve"> настоящего постановления.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Некоммерческое партнерство "Совет рынка по организации эффективной системы оптовой и розничной торговли электрической энергией и мощностью" в целях организации и осуществления мониторинга ценовой ситуации на оптовом и розничных рынках запрашивает у органов исполнительной власти субъектов Российской Федерации, субъектов оптового и розничных рынков информацию о ценовых и объемных показателях, а также об иных величинах, влияющих на изменение ценовой ситуации на оптовом и розничных рынках.</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Указанная информация предоставляется не позднее 1 месяца со дня получения соответствующего запроса.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Некоммерческое партнерство "Совет рынка по организации эффективной системы оптовой и розничной торговли электрической энергией и мощностью" информирует федеральные органы исполнительной власти и органы исполнительной власти субъектов Российской Федерации, уполномоченные в области контроля и надзора за деятельностью субъектов оптового и розничных рынков, о результатах мониторинга ценовой ситуации на оптовом и розничных рынках.</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Федеральной антимонопольной службе: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 согласованию с Министерством энергетики Российской Федерации, Федеральной службой по тарифам и Министерством экономического развития Российской Федерации в месячный срок разработать и представить в Правительство Российской Федерации критерии отнесения сетевых организаций к сетевым организациям, созданным на базе сетевых хозяйств промышленных предприятий и иных организаций и оказывающим услуги по передаче электрической энергии таким предприятиям (организациям);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 согласованию с Министерством экономического развития Российской Федерации, Федеральной службой по тарифам и Министерством энергетики Российской Федерации в 3-месячный срок разработать примерные договоры купли-продажи электрической энергии (энергоснабжения) с потребителями.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Федеральной службе по тарифам, Министерству экономического развития Российской Федерации, Министерству энергетики Российской Федерации и Федеральной антимонопольной службе в 3-месячный срок разработать и представить в Правительство Российской Федерации предложения о внесении изменений в нормативные правовые акты об осуществлении органами исполнительной власти субъектов Российской Федерации в области государственного регулирования тарифов контроля за соблюдением гарантирующими поставщиками </w:t>
      </w:r>
      <w:hyperlink r:id="rId66" w:history="1">
        <w:r>
          <w:rPr>
            <w:rFonts w:ascii="Arial" w:hAnsi="Arial" w:cs="Arial"/>
            <w:color w:val="0000FF"/>
            <w:sz w:val="20"/>
            <w:szCs w:val="20"/>
          </w:rPr>
          <w:t>Правил</w:t>
        </w:r>
      </w:hyperlink>
      <w:r>
        <w:rPr>
          <w:rFonts w:ascii="Arial" w:hAnsi="Arial" w:cs="Arial"/>
          <w:sz w:val="20"/>
          <w:szCs w:val="20"/>
        </w:rPr>
        <w:t xml:space="preserve"> определения и применения гарантирующими поставщиками нерегулируемых цен на электрическую энергию (мощность).</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 w:name="Par58"/>
      <w:bookmarkEnd w:id="1"/>
      <w:r>
        <w:rPr>
          <w:rFonts w:ascii="Arial" w:hAnsi="Arial" w:cs="Arial"/>
          <w:sz w:val="20"/>
          <w:szCs w:val="20"/>
        </w:rPr>
        <w:t xml:space="preserve">6. Федеральной службе по тарифам по согласованию с Министерством экономического развития Российской Федерации, Министерством энергетики Российской Федерации и Федеральной антимонопольной службой до 1 августа 2012 г. утвердить </w:t>
      </w:r>
      <w:hyperlink r:id="rId67" w:history="1">
        <w:r>
          <w:rPr>
            <w:rFonts w:ascii="Arial" w:hAnsi="Arial" w:cs="Arial"/>
            <w:color w:val="0000FF"/>
            <w:sz w:val="20"/>
            <w:szCs w:val="20"/>
          </w:rPr>
          <w:t>методические указания</w:t>
        </w:r>
      </w:hyperlink>
      <w:r>
        <w:rPr>
          <w:rFonts w:ascii="Arial" w:hAnsi="Arial" w:cs="Arial"/>
          <w:sz w:val="20"/>
          <w:szCs w:val="20"/>
        </w:rPr>
        <w:t xml:space="preserve"> по расчету сбытовой надбавки гарантирующих поставщиков, в том числе определяющие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7. Федеральной службе по тарифам в 3-месячный срок привести свои нормативные правовые акты в соответствие с настоящим постановлением.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8. Министерству энергетики Российской Федерации по согласованию с Министерством экономического развития Российской Федерации: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4-месячный срок разработать и утвердить </w:t>
      </w:r>
      <w:hyperlink r:id="rId68" w:history="1">
        <w:r>
          <w:rPr>
            <w:rFonts w:ascii="Arial" w:hAnsi="Arial" w:cs="Arial"/>
            <w:color w:val="0000FF"/>
            <w:sz w:val="20"/>
            <w:szCs w:val="20"/>
          </w:rPr>
          <w:t>методические указания</w:t>
        </w:r>
      </w:hyperlink>
      <w:r>
        <w:rPr>
          <w:rFonts w:ascii="Arial" w:hAnsi="Arial" w:cs="Arial"/>
          <w:sz w:val="20"/>
          <w:szCs w:val="20"/>
        </w:rPr>
        <w:t xml:space="preserve"> по определению и применению коэффициентов совмещения максимума потребления электрической энергии при определении степени загрузки вводимых после строительства объектов электросетевого хозяйства;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6-месячный срок привести в соответствие с настоящим постановлением </w:t>
      </w:r>
      <w:hyperlink r:id="rId69" w:history="1">
        <w:r>
          <w:rPr>
            <w:rFonts w:ascii="Arial" w:hAnsi="Arial" w:cs="Arial"/>
            <w:color w:val="0000FF"/>
            <w:sz w:val="20"/>
            <w:szCs w:val="20"/>
          </w:rPr>
          <w:t>правила</w:t>
        </w:r>
      </w:hyperlink>
      <w:r>
        <w:rPr>
          <w:rFonts w:ascii="Arial" w:hAnsi="Arial" w:cs="Arial"/>
          <w:sz w:val="20"/>
          <w:szCs w:val="20"/>
        </w:rPr>
        <w:t xml:space="preserve"> разработки и применения графиков аварийного ограничения режима потребления электрической энергии и использования противоаварийной автоматики.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9. Министерству экономического развития Российской Федерации, Федеральной службе по тарифам, Министерству энергетики Российской Федерации, Федеральной антимонопольной службе и Министерству финансов Российской Федерации до 1 января 2013 г. разработать и представить в Правительство Российской Федерации проекты нормативных правовых актов, касающихся вопросов решения проблемы перекрестного субсидирования на розничных рынках.</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10. Министерству энергетики Российской Федерации, Министерству экономического развития Российской Федерации, Федеральной службе по тарифам и Федеральной антимонопольной службе на основе анализа объемов резервируемой максимальной мощности, которые поддерживаются сетевыми организациями в интересах потребителей, и возможных тарифных последствий от перехода к оплате указанной величины подготовить и представить в Правительство Российской Федерации до 1 июля 2013 г. предложения о внесении изменений в акты Правительства Российской Федерации, устанавливающие особенности определения стоимости услуг по передаче электрической энергии с учетом оплаты резервируемой максимальной мощности, включающие сроки перехода к оплате указанной величины.</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11. Признать утратившими силу акты Правительства Российской Федерации по перечню согласно </w:t>
      </w:r>
      <w:hyperlink w:anchor="Par6065" w:history="1">
        <w:r>
          <w:rPr>
            <w:rFonts w:ascii="Arial" w:hAnsi="Arial" w:cs="Arial"/>
            <w:color w:val="0000FF"/>
            <w:sz w:val="20"/>
            <w:szCs w:val="20"/>
          </w:rPr>
          <w:t>приложению</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12. </w:t>
      </w:r>
      <w:hyperlink w:anchor="Par187" w:history="1">
        <w:r>
          <w:rPr>
            <w:rFonts w:ascii="Arial" w:hAnsi="Arial" w:cs="Arial"/>
            <w:color w:val="0000FF"/>
            <w:sz w:val="20"/>
            <w:szCs w:val="20"/>
          </w:rPr>
          <w:t>Абзац пятый пункта 9</w:t>
        </w:r>
      </w:hyperlink>
      <w:r>
        <w:rPr>
          <w:rFonts w:ascii="Arial" w:hAnsi="Arial" w:cs="Arial"/>
          <w:sz w:val="20"/>
          <w:szCs w:val="20"/>
        </w:rPr>
        <w:t xml:space="preserve"> Основных положений функционирования розничных рынков электрической энергии, утвержденных настоящим постановлением, вступает в силу по истечении 1 года со дня вступления в силу настоящего постановления.</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Председатель Правительства</w:t>
      </w:r>
    </w:p>
    <w:p w:rsidR="009F5AFE" w:rsidRDefault="009F5AFE" w:rsidP="009F5AF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Российской Федерации</w:t>
      </w:r>
    </w:p>
    <w:p w:rsidR="009F5AFE" w:rsidRDefault="009F5AFE" w:rsidP="009F5AF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В.ПУТИН</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right"/>
        <w:outlineLvl w:val="0"/>
        <w:rPr>
          <w:rFonts w:ascii="Arial" w:hAnsi="Arial" w:cs="Arial"/>
          <w:sz w:val="20"/>
          <w:szCs w:val="20"/>
        </w:rPr>
      </w:pPr>
      <w:r>
        <w:rPr>
          <w:rFonts w:ascii="Arial" w:hAnsi="Arial" w:cs="Arial"/>
          <w:sz w:val="20"/>
          <w:szCs w:val="20"/>
        </w:rPr>
        <w:t>Утверждены</w:t>
      </w:r>
    </w:p>
    <w:p w:rsidR="009F5AFE" w:rsidRDefault="009F5AFE" w:rsidP="009F5AF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постановлением Правительства</w:t>
      </w:r>
    </w:p>
    <w:p w:rsidR="009F5AFE" w:rsidRDefault="009F5AFE" w:rsidP="009F5AF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Российской Федерации</w:t>
      </w:r>
    </w:p>
    <w:p w:rsidR="009F5AFE" w:rsidRDefault="009F5AFE" w:rsidP="009F5AF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от 4 мая 2012 г. N 442</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tbl>
      <w:tblPr>
        <w:tblW w:w="5000" w:type="pct"/>
        <w:jc w:val="center"/>
        <w:tblLayout w:type="fixed"/>
        <w:tblCellMar>
          <w:top w:w="113" w:type="dxa"/>
          <w:left w:w="113" w:type="dxa"/>
          <w:bottom w:w="113" w:type="dxa"/>
          <w:right w:w="113" w:type="dxa"/>
        </w:tblCellMar>
        <w:tblLook w:val="0000" w:firstRow="0" w:lastRow="0" w:firstColumn="0" w:lastColumn="0" w:noHBand="0" w:noVBand="0"/>
      </w:tblPr>
      <w:tblGrid>
        <w:gridCol w:w="10433"/>
      </w:tblGrid>
      <w:tr w:rsidR="009F5AFE">
        <w:trPr>
          <w:jc w:val="center"/>
        </w:trPr>
        <w:tc>
          <w:tcPr>
            <w:tcW w:w="5000" w:type="pct"/>
            <w:tcBorders>
              <w:left w:val="single" w:sz="24" w:space="0" w:color="CED3F1"/>
              <w:right w:val="single" w:sz="24" w:space="0" w:color="F4F3F8"/>
            </w:tcBorders>
            <w:shd w:val="clear" w:color="auto" w:fill="F4F3F8"/>
          </w:tcPr>
          <w:p w:rsidR="009F5AFE" w:rsidRDefault="009F5AFE">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9F5AFE" w:rsidRDefault="009F5AFE">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Письмом ФАС России от 30.06.2020 N ИА/55189/20 направлены </w:t>
            </w:r>
            <w:hyperlink r:id="rId70" w:history="1">
              <w:r>
                <w:rPr>
                  <w:rFonts w:ascii="Arial" w:hAnsi="Arial" w:cs="Arial"/>
                  <w:color w:val="0000FF"/>
                  <w:sz w:val="20"/>
                  <w:szCs w:val="20"/>
                </w:rPr>
                <w:t>рекомендации</w:t>
              </w:r>
            </w:hyperlink>
            <w:r>
              <w:rPr>
                <w:rFonts w:ascii="Arial" w:hAnsi="Arial" w:cs="Arial"/>
                <w:color w:val="392C69"/>
                <w:sz w:val="20"/>
                <w:szCs w:val="20"/>
              </w:rPr>
              <w:t xml:space="preserve"> о возбуждении и рассмотрении дел о нарушении антимонопольного законодательства по фактам нарушения настоящих Основных положений в части нарушения порядка проведения проверок расчетных приборов учета электрической энергии и выявления безучетного потребления.</w:t>
            </w:r>
          </w:p>
        </w:tc>
      </w:tr>
    </w:tbl>
    <w:p w:rsidR="009F5AFE" w:rsidRDefault="009F5AFE" w:rsidP="009F5AFE">
      <w:pPr>
        <w:keepNext w:val="0"/>
        <w:keepLines w:val="0"/>
        <w:autoSpaceDE w:val="0"/>
        <w:autoSpaceDN w:val="0"/>
        <w:adjustRightInd w:val="0"/>
        <w:spacing w:before="260" w:line="240" w:lineRule="auto"/>
        <w:jc w:val="center"/>
        <w:rPr>
          <w:rFonts w:ascii="Arial" w:eastAsiaTheme="minorHAnsi" w:hAnsi="Arial" w:cs="Arial"/>
          <w:color w:val="auto"/>
          <w:sz w:val="20"/>
          <w:szCs w:val="20"/>
        </w:rPr>
      </w:pPr>
      <w:bookmarkStart w:id="2" w:name="Par83"/>
      <w:bookmarkEnd w:id="2"/>
      <w:r>
        <w:rPr>
          <w:rFonts w:ascii="Arial" w:eastAsiaTheme="minorHAnsi" w:hAnsi="Arial" w:cs="Arial"/>
          <w:color w:val="auto"/>
          <w:sz w:val="20"/>
          <w:szCs w:val="20"/>
        </w:rPr>
        <w:t>ОСНОВНЫЕ ПОЛОЖЕНИЯ</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ФУНКЦИОНИРОВАНИЯ РОЗНИЧНЫХ РЫНКОВ ЭЛЕКТРИЧЕСКОЙ ЭНЕРГИИ</w:t>
      </w:r>
    </w:p>
    <w:p w:rsidR="009F5AFE" w:rsidRDefault="009F5AFE" w:rsidP="009F5AFE">
      <w:pPr>
        <w:autoSpaceDE w:val="0"/>
        <w:autoSpaceDN w:val="0"/>
        <w:adjustRightInd w:val="0"/>
        <w:spacing w:after="0" w:line="240" w:lineRule="auto"/>
        <w:rPr>
          <w:rFonts w:ascii="Arial" w:hAnsi="Arial" w:cs="Arial"/>
          <w:sz w:val="24"/>
          <w:szCs w:val="24"/>
        </w:rPr>
      </w:pPr>
    </w:p>
    <w:tbl>
      <w:tblPr>
        <w:tblW w:w="5000" w:type="pct"/>
        <w:jc w:val="center"/>
        <w:tblLayout w:type="fixed"/>
        <w:tblCellMar>
          <w:top w:w="113" w:type="dxa"/>
          <w:left w:w="113" w:type="dxa"/>
          <w:bottom w:w="113" w:type="dxa"/>
          <w:right w:w="113" w:type="dxa"/>
        </w:tblCellMar>
        <w:tblLook w:val="0000" w:firstRow="0" w:lastRow="0" w:firstColumn="0" w:lastColumn="0" w:noHBand="0" w:noVBand="0"/>
      </w:tblPr>
      <w:tblGrid>
        <w:gridCol w:w="10433"/>
      </w:tblGrid>
      <w:tr w:rsidR="009F5AFE">
        <w:trPr>
          <w:jc w:val="center"/>
        </w:trPr>
        <w:tc>
          <w:tcPr>
            <w:tcW w:w="5000" w:type="pct"/>
            <w:tcBorders>
              <w:left w:val="single" w:sz="24" w:space="0" w:color="CED3F1"/>
              <w:right w:val="single" w:sz="24" w:space="0" w:color="F4F3F8"/>
            </w:tcBorders>
            <w:shd w:val="clear" w:color="auto" w:fill="F4F3F8"/>
          </w:tcPr>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Список изменяющих документов</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(в ред. Постановлений Правительства РФ от 28.12.2012 </w:t>
            </w:r>
            <w:hyperlink r:id="rId71" w:history="1">
              <w:r>
                <w:rPr>
                  <w:rFonts w:ascii="Arial" w:hAnsi="Arial" w:cs="Arial"/>
                  <w:color w:val="0000FF"/>
                  <w:sz w:val="20"/>
                  <w:szCs w:val="20"/>
                </w:rPr>
                <w:t>N 1449</w:t>
              </w:r>
            </w:hyperlink>
            <w:r>
              <w:rPr>
                <w:rFonts w:ascii="Arial" w:hAnsi="Arial" w:cs="Arial"/>
                <w:color w:val="392C69"/>
                <w:sz w:val="20"/>
                <w:szCs w:val="20"/>
              </w:rPr>
              <w:t>,</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30.12.2012 </w:t>
            </w:r>
            <w:hyperlink r:id="rId72" w:history="1">
              <w:r>
                <w:rPr>
                  <w:rFonts w:ascii="Arial" w:hAnsi="Arial" w:cs="Arial"/>
                  <w:color w:val="0000FF"/>
                  <w:sz w:val="20"/>
                  <w:szCs w:val="20"/>
                </w:rPr>
                <w:t>N 1482</w:t>
              </w:r>
            </w:hyperlink>
            <w:r>
              <w:rPr>
                <w:rFonts w:ascii="Arial" w:hAnsi="Arial" w:cs="Arial"/>
                <w:color w:val="392C69"/>
                <w:sz w:val="20"/>
                <w:szCs w:val="20"/>
              </w:rPr>
              <w:t xml:space="preserve">, от 30.01.2013 </w:t>
            </w:r>
            <w:hyperlink r:id="rId73" w:history="1">
              <w:r>
                <w:rPr>
                  <w:rFonts w:ascii="Arial" w:hAnsi="Arial" w:cs="Arial"/>
                  <w:color w:val="0000FF"/>
                  <w:sz w:val="20"/>
                  <w:szCs w:val="20"/>
                </w:rPr>
                <w:t>N 67</w:t>
              </w:r>
            </w:hyperlink>
            <w:r>
              <w:rPr>
                <w:rFonts w:ascii="Arial" w:hAnsi="Arial" w:cs="Arial"/>
                <w:color w:val="392C69"/>
                <w:sz w:val="20"/>
                <w:szCs w:val="20"/>
              </w:rPr>
              <w:t xml:space="preserve">, от 26.07.2013 </w:t>
            </w:r>
            <w:hyperlink r:id="rId74" w:history="1">
              <w:r>
                <w:rPr>
                  <w:rFonts w:ascii="Arial" w:hAnsi="Arial" w:cs="Arial"/>
                  <w:color w:val="0000FF"/>
                  <w:sz w:val="20"/>
                  <w:szCs w:val="20"/>
                </w:rPr>
                <w:t>N 630</w:t>
              </w:r>
            </w:hyperlink>
            <w:r>
              <w:rPr>
                <w:rFonts w:ascii="Arial" w:hAnsi="Arial" w:cs="Arial"/>
                <w:color w:val="392C69"/>
                <w:sz w:val="20"/>
                <w:szCs w:val="20"/>
              </w:rPr>
              <w:t>,</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31.07.2013 </w:t>
            </w:r>
            <w:hyperlink r:id="rId75" w:history="1">
              <w:r>
                <w:rPr>
                  <w:rFonts w:ascii="Arial" w:hAnsi="Arial" w:cs="Arial"/>
                  <w:color w:val="0000FF"/>
                  <w:sz w:val="20"/>
                  <w:szCs w:val="20"/>
                </w:rPr>
                <w:t>N 652</w:t>
              </w:r>
            </w:hyperlink>
            <w:r>
              <w:rPr>
                <w:rFonts w:ascii="Arial" w:hAnsi="Arial" w:cs="Arial"/>
                <w:color w:val="392C69"/>
                <w:sz w:val="20"/>
                <w:szCs w:val="20"/>
              </w:rPr>
              <w:t xml:space="preserve">, от 26.08.2013 </w:t>
            </w:r>
            <w:hyperlink r:id="rId76" w:history="1">
              <w:r>
                <w:rPr>
                  <w:rFonts w:ascii="Arial" w:hAnsi="Arial" w:cs="Arial"/>
                  <w:color w:val="0000FF"/>
                  <w:sz w:val="20"/>
                  <w:szCs w:val="20"/>
                </w:rPr>
                <w:t>N 737</w:t>
              </w:r>
            </w:hyperlink>
            <w:r>
              <w:rPr>
                <w:rFonts w:ascii="Arial" w:hAnsi="Arial" w:cs="Arial"/>
                <w:color w:val="392C69"/>
                <w:sz w:val="20"/>
                <w:szCs w:val="20"/>
              </w:rPr>
              <w:t xml:space="preserve">, от 27.08.2013 </w:t>
            </w:r>
            <w:hyperlink r:id="rId77" w:history="1">
              <w:r>
                <w:rPr>
                  <w:rFonts w:ascii="Arial" w:hAnsi="Arial" w:cs="Arial"/>
                  <w:color w:val="0000FF"/>
                  <w:sz w:val="20"/>
                  <w:szCs w:val="20"/>
                </w:rPr>
                <w:t>N 743</w:t>
              </w:r>
            </w:hyperlink>
            <w:r>
              <w:rPr>
                <w:rFonts w:ascii="Arial" w:hAnsi="Arial" w:cs="Arial"/>
                <w:color w:val="392C69"/>
                <w:sz w:val="20"/>
                <w:szCs w:val="20"/>
              </w:rPr>
              <w:t>,</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10.02.2014 </w:t>
            </w:r>
            <w:hyperlink r:id="rId78" w:history="1">
              <w:r>
                <w:rPr>
                  <w:rFonts w:ascii="Arial" w:hAnsi="Arial" w:cs="Arial"/>
                  <w:color w:val="0000FF"/>
                  <w:sz w:val="20"/>
                  <w:szCs w:val="20"/>
                </w:rPr>
                <w:t>N 95</w:t>
              </w:r>
            </w:hyperlink>
            <w:r>
              <w:rPr>
                <w:rFonts w:ascii="Arial" w:hAnsi="Arial" w:cs="Arial"/>
                <w:color w:val="392C69"/>
                <w:sz w:val="20"/>
                <w:szCs w:val="20"/>
              </w:rPr>
              <w:t xml:space="preserve">, от 31.07.2014 </w:t>
            </w:r>
            <w:hyperlink r:id="rId79" w:history="1">
              <w:r>
                <w:rPr>
                  <w:rFonts w:ascii="Arial" w:hAnsi="Arial" w:cs="Arial"/>
                  <w:color w:val="0000FF"/>
                  <w:sz w:val="20"/>
                  <w:szCs w:val="20"/>
                </w:rPr>
                <w:t>N 750</w:t>
              </w:r>
            </w:hyperlink>
            <w:r>
              <w:rPr>
                <w:rFonts w:ascii="Arial" w:hAnsi="Arial" w:cs="Arial"/>
                <w:color w:val="392C69"/>
                <w:sz w:val="20"/>
                <w:szCs w:val="20"/>
              </w:rPr>
              <w:t xml:space="preserve">, от 11.08.2014 </w:t>
            </w:r>
            <w:hyperlink r:id="rId80" w:history="1">
              <w:r>
                <w:rPr>
                  <w:rFonts w:ascii="Arial" w:hAnsi="Arial" w:cs="Arial"/>
                  <w:color w:val="0000FF"/>
                  <w:sz w:val="20"/>
                  <w:szCs w:val="20"/>
                </w:rPr>
                <w:t>N 792</w:t>
              </w:r>
            </w:hyperlink>
            <w:r>
              <w:rPr>
                <w:rFonts w:ascii="Arial" w:hAnsi="Arial" w:cs="Arial"/>
                <w:color w:val="392C69"/>
                <w:sz w:val="20"/>
                <w:szCs w:val="20"/>
              </w:rPr>
              <w:t>,</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23.01.2015 </w:t>
            </w:r>
            <w:hyperlink r:id="rId81" w:history="1">
              <w:r>
                <w:rPr>
                  <w:rFonts w:ascii="Arial" w:hAnsi="Arial" w:cs="Arial"/>
                  <w:color w:val="0000FF"/>
                  <w:sz w:val="20"/>
                  <w:szCs w:val="20"/>
                </w:rPr>
                <w:t>N 47</w:t>
              </w:r>
            </w:hyperlink>
            <w:r>
              <w:rPr>
                <w:rFonts w:ascii="Arial" w:hAnsi="Arial" w:cs="Arial"/>
                <w:color w:val="392C69"/>
                <w:sz w:val="20"/>
                <w:szCs w:val="20"/>
              </w:rPr>
              <w:t xml:space="preserve">, от 28.02.2015 </w:t>
            </w:r>
            <w:hyperlink r:id="rId82" w:history="1">
              <w:r>
                <w:rPr>
                  <w:rFonts w:ascii="Arial" w:hAnsi="Arial" w:cs="Arial"/>
                  <w:color w:val="0000FF"/>
                  <w:sz w:val="20"/>
                  <w:szCs w:val="20"/>
                </w:rPr>
                <w:t>N 183</w:t>
              </w:r>
            </w:hyperlink>
            <w:r>
              <w:rPr>
                <w:rFonts w:ascii="Arial" w:hAnsi="Arial" w:cs="Arial"/>
                <w:color w:val="392C69"/>
                <w:sz w:val="20"/>
                <w:szCs w:val="20"/>
              </w:rPr>
              <w:t xml:space="preserve">, от 28.02.2015 </w:t>
            </w:r>
            <w:hyperlink r:id="rId83" w:history="1">
              <w:r>
                <w:rPr>
                  <w:rFonts w:ascii="Arial" w:hAnsi="Arial" w:cs="Arial"/>
                  <w:color w:val="0000FF"/>
                  <w:sz w:val="20"/>
                  <w:szCs w:val="20"/>
                </w:rPr>
                <w:t>N 184</w:t>
              </w:r>
            </w:hyperlink>
            <w:r>
              <w:rPr>
                <w:rFonts w:ascii="Arial" w:hAnsi="Arial" w:cs="Arial"/>
                <w:color w:val="392C69"/>
                <w:sz w:val="20"/>
                <w:szCs w:val="20"/>
              </w:rPr>
              <w:t>,</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28.05.2015 </w:t>
            </w:r>
            <w:hyperlink r:id="rId84" w:history="1">
              <w:r>
                <w:rPr>
                  <w:rFonts w:ascii="Arial" w:hAnsi="Arial" w:cs="Arial"/>
                  <w:color w:val="0000FF"/>
                  <w:sz w:val="20"/>
                  <w:szCs w:val="20"/>
                </w:rPr>
                <w:t>N 508</w:t>
              </w:r>
            </w:hyperlink>
            <w:r>
              <w:rPr>
                <w:rFonts w:ascii="Arial" w:hAnsi="Arial" w:cs="Arial"/>
                <w:color w:val="392C69"/>
                <w:sz w:val="20"/>
                <w:szCs w:val="20"/>
              </w:rPr>
              <w:t xml:space="preserve">, от 07.07.2015 </w:t>
            </w:r>
            <w:hyperlink r:id="rId85" w:history="1">
              <w:r>
                <w:rPr>
                  <w:rFonts w:ascii="Arial" w:hAnsi="Arial" w:cs="Arial"/>
                  <w:color w:val="0000FF"/>
                  <w:sz w:val="20"/>
                  <w:szCs w:val="20"/>
                </w:rPr>
                <w:t>N 680</w:t>
              </w:r>
            </w:hyperlink>
            <w:r>
              <w:rPr>
                <w:rFonts w:ascii="Arial" w:hAnsi="Arial" w:cs="Arial"/>
                <w:color w:val="392C69"/>
                <w:sz w:val="20"/>
                <w:szCs w:val="20"/>
              </w:rPr>
              <w:t xml:space="preserve">, от 04.09.2015 </w:t>
            </w:r>
            <w:hyperlink r:id="rId86" w:history="1">
              <w:r>
                <w:rPr>
                  <w:rFonts w:ascii="Arial" w:hAnsi="Arial" w:cs="Arial"/>
                  <w:color w:val="0000FF"/>
                  <w:sz w:val="20"/>
                  <w:szCs w:val="20"/>
                </w:rPr>
                <w:t>N 941</w:t>
              </w:r>
            </w:hyperlink>
            <w:r>
              <w:rPr>
                <w:rFonts w:ascii="Arial" w:hAnsi="Arial" w:cs="Arial"/>
                <w:color w:val="392C69"/>
                <w:sz w:val="20"/>
                <w:szCs w:val="20"/>
              </w:rPr>
              <w:t>,</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22.02.2016 </w:t>
            </w:r>
            <w:hyperlink r:id="rId87" w:history="1">
              <w:r>
                <w:rPr>
                  <w:rFonts w:ascii="Arial" w:hAnsi="Arial" w:cs="Arial"/>
                  <w:color w:val="0000FF"/>
                  <w:sz w:val="20"/>
                  <w:szCs w:val="20"/>
                </w:rPr>
                <w:t>N 128</w:t>
              </w:r>
            </w:hyperlink>
            <w:r>
              <w:rPr>
                <w:rFonts w:ascii="Arial" w:hAnsi="Arial" w:cs="Arial"/>
                <w:color w:val="392C69"/>
                <w:sz w:val="20"/>
                <w:szCs w:val="20"/>
              </w:rPr>
              <w:t xml:space="preserve">, от 17.05.2016 </w:t>
            </w:r>
            <w:hyperlink r:id="rId88" w:history="1">
              <w:r>
                <w:rPr>
                  <w:rFonts w:ascii="Arial" w:hAnsi="Arial" w:cs="Arial"/>
                  <w:color w:val="0000FF"/>
                  <w:sz w:val="20"/>
                  <w:szCs w:val="20"/>
                </w:rPr>
                <w:t>N 433</w:t>
              </w:r>
            </w:hyperlink>
            <w:r>
              <w:rPr>
                <w:rFonts w:ascii="Arial" w:hAnsi="Arial" w:cs="Arial"/>
                <w:color w:val="392C69"/>
                <w:sz w:val="20"/>
                <w:szCs w:val="20"/>
              </w:rPr>
              <w:t xml:space="preserve">, от 11.10.2016 </w:t>
            </w:r>
            <w:hyperlink r:id="rId89" w:history="1">
              <w:r>
                <w:rPr>
                  <w:rFonts w:ascii="Arial" w:hAnsi="Arial" w:cs="Arial"/>
                  <w:color w:val="0000FF"/>
                  <w:sz w:val="20"/>
                  <w:szCs w:val="20"/>
                </w:rPr>
                <w:t>N 1030</w:t>
              </w:r>
            </w:hyperlink>
            <w:r>
              <w:rPr>
                <w:rFonts w:ascii="Arial" w:hAnsi="Arial" w:cs="Arial"/>
                <w:color w:val="392C69"/>
                <w:sz w:val="20"/>
                <w:szCs w:val="20"/>
              </w:rPr>
              <w:t>,</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20.10.2016 </w:t>
            </w:r>
            <w:hyperlink r:id="rId90" w:history="1">
              <w:r>
                <w:rPr>
                  <w:rFonts w:ascii="Arial" w:hAnsi="Arial" w:cs="Arial"/>
                  <w:color w:val="0000FF"/>
                  <w:sz w:val="20"/>
                  <w:szCs w:val="20"/>
                </w:rPr>
                <w:t>N 1074</w:t>
              </w:r>
            </w:hyperlink>
            <w:r>
              <w:rPr>
                <w:rFonts w:ascii="Arial" w:hAnsi="Arial" w:cs="Arial"/>
                <w:color w:val="392C69"/>
                <w:sz w:val="20"/>
                <w:szCs w:val="20"/>
              </w:rPr>
              <w:t xml:space="preserve">, от 08.12.2016 </w:t>
            </w:r>
            <w:hyperlink r:id="rId91" w:history="1">
              <w:r>
                <w:rPr>
                  <w:rFonts w:ascii="Arial" w:hAnsi="Arial" w:cs="Arial"/>
                  <w:color w:val="0000FF"/>
                  <w:sz w:val="20"/>
                  <w:szCs w:val="20"/>
                </w:rPr>
                <w:t>N 1319</w:t>
              </w:r>
            </w:hyperlink>
            <w:r>
              <w:rPr>
                <w:rFonts w:ascii="Arial" w:hAnsi="Arial" w:cs="Arial"/>
                <w:color w:val="392C69"/>
                <w:sz w:val="20"/>
                <w:szCs w:val="20"/>
              </w:rPr>
              <w:t xml:space="preserve">, от 23.12.2016 </w:t>
            </w:r>
            <w:hyperlink r:id="rId92" w:history="1">
              <w:r>
                <w:rPr>
                  <w:rFonts w:ascii="Arial" w:hAnsi="Arial" w:cs="Arial"/>
                  <w:color w:val="0000FF"/>
                  <w:sz w:val="20"/>
                  <w:szCs w:val="20"/>
                </w:rPr>
                <w:t>N 1446</w:t>
              </w:r>
            </w:hyperlink>
            <w:r>
              <w:rPr>
                <w:rFonts w:ascii="Arial" w:hAnsi="Arial" w:cs="Arial"/>
                <w:color w:val="392C69"/>
                <w:sz w:val="20"/>
                <w:szCs w:val="20"/>
              </w:rPr>
              <w:t>,</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26.12.2016 </w:t>
            </w:r>
            <w:hyperlink r:id="rId93" w:history="1">
              <w:r>
                <w:rPr>
                  <w:rFonts w:ascii="Arial" w:hAnsi="Arial" w:cs="Arial"/>
                  <w:color w:val="0000FF"/>
                  <w:sz w:val="20"/>
                  <w:szCs w:val="20"/>
                </w:rPr>
                <w:t>N 1498</w:t>
              </w:r>
            </w:hyperlink>
            <w:r>
              <w:rPr>
                <w:rFonts w:ascii="Arial" w:hAnsi="Arial" w:cs="Arial"/>
                <w:color w:val="392C69"/>
                <w:sz w:val="20"/>
                <w:szCs w:val="20"/>
              </w:rPr>
              <w:t xml:space="preserve">, от 04.02.2017 </w:t>
            </w:r>
            <w:hyperlink r:id="rId94" w:history="1">
              <w:r>
                <w:rPr>
                  <w:rFonts w:ascii="Arial" w:hAnsi="Arial" w:cs="Arial"/>
                  <w:color w:val="0000FF"/>
                  <w:sz w:val="20"/>
                  <w:szCs w:val="20"/>
                </w:rPr>
                <w:t>N 139</w:t>
              </w:r>
            </w:hyperlink>
            <w:r>
              <w:rPr>
                <w:rFonts w:ascii="Arial" w:hAnsi="Arial" w:cs="Arial"/>
                <w:color w:val="392C69"/>
                <w:sz w:val="20"/>
                <w:szCs w:val="20"/>
              </w:rPr>
              <w:t xml:space="preserve">, от 07.05.2017 </w:t>
            </w:r>
            <w:hyperlink r:id="rId95" w:history="1">
              <w:r>
                <w:rPr>
                  <w:rFonts w:ascii="Arial" w:hAnsi="Arial" w:cs="Arial"/>
                  <w:color w:val="0000FF"/>
                  <w:sz w:val="20"/>
                  <w:szCs w:val="20"/>
                </w:rPr>
                <w:t>N 542</w:t>
              </w:r>
            </w:hyperlink>
            <w:r>
              <w:rPr>
                <w:rFonts w:ascii="Arial" w:hAnsi="Arial" w:cs="Arial"/>
                <w:color w:val="392C69"/>
                <w:sz w:val="20"/>
                <w:szCs w:val="20"/>
              </w:rPr>
              <w:t>,</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11.05.2017 </w:t>
            </w:r>
            <w:hyperlink r:id="rId96" w:history="1">
              <w:r>
                <w:rPr>
                  <w:rFonts w:ascii="Arial" w:hAnsi="Arial" w:cs="Arial"/>
                  <w:color w:val="0000FF"/>
                  <w:sz w:val="20"/>
                  <w:szCs w:val="20"/>
                </w:rPr>
                <w:t>N 557</w:t>
              </w:r>
            </w:hyperlink>
            <w:r>
              <w:rPr>
                <w:rFonts w:ascii="Arial" w:hAnsi="Arial" w:cs="Arial"/>
                <w:color w:val="392C69"/>
                <w:sz w:val="20"/>
                <w:szCs w:val="20"/>
              </w:rPr>
              <w:t xml:space="preserve">, от 24.05.2017 </w:t>
            </w:r>
            <w:hyperlink r:id="rId97" w:history="1">
              <w:r>
                <w:rPr>
                  <w:rFonts w:ascii="Arial" w:hAnsi="Arial" w:cs="Arial"/>
                  <w:color w:val="0000FF"/>
                  <w:sz w:val="20"/>
                  <w:szCs w:val="20"/>
                </w:rPr>
                <w:t>N 624</w:t>
              </w:r>
            </w:hyperlink>
            <w:r>
              <w:rPr>
                <w:rFonts w:ascii="Arial" w:hAnsi="Arial" w:cs="Arial"/>
                <w:color w:val="392C69"/>
                <w:sz w:val="20"/>
                <w:szCs w:val="20"/>
              </w:rPr>
              <w:t xml:space="preserve">, от 07.07.2017 </w:t>
            </w:r>
            <w:hyperlink r:id="rId98" w:history="1">
              <w:r>
                <w:rPr>
                  <w:rFonts w:ascii="Arial" w:hAnsi="Arial" w:cs="Arial"/>
                  <w:color w:val="0000FF"/>
                  <w:sz w:val="20"/>
                  <w:szCs w:val="20"/>
                </w:rPr>
                <w:t>N 810</w:t>
              </w:r>
            </w:hyperlink>
            <w:r>
              <w:rPr>
                <w:rFonts w:ascii="Arial" w:hAnsi="Arial" w:cs="Arial"/>
                <w:color w:val="392C69"/>
                <w:sz w:val="20"/>
                <w:szCs w:val="20"/>
              </w:rPr>
              <w:t>,</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21.07.2017 </w:t>
            </w:r>
            <w:hyperlink r:id="rId99" w:history="1">
              <w:r>
                <w:rPr>
                  <w:rFonts w:ascii="Arial" w:hAnsi="Arial" w:cs="Arial"/>
                  <w:color w:val="0000FF"/>
                  <w:sz w:val="20"/>
                  <w:szCs w:val="20"/>
                </w:rPr>
                <w:t>N 863</w:t>
              </w:r>
            </w:hyperlink>
            <w:r>
              <w:rPr>
                <w:rFonts w:ascii="Arial" w:hAnsi="Arial" w:cs="Arial"/>
                <w:color w:val="392C69"/>
                <w:sz w:val="20"/>
                <w:szCs w:val="20"/>
              </w:rPr>
              <w:t xml:space="preserve">, от 28.07.2017 </w:t>
            </w:r>
            <w:hyperlink r:id="rId100" w:history="1">
              <w:r>
                <w:rPr>
                  <w:rFonts w:ascii="Arial" w:hAnsi="Arial" w:cs="Arial"/>
                  <w:color w:val="0000FF"/>
                  <w:sz w:val="20"/>
                  <w:szCs w:val="20"/>
                </w:rPr>
                <w:t>N 895</w:t>
              </w:r>
            </w:hyperlink>
            <w:r>
              <w:rPr>
                <w:rFonts w:ascii="Arial" w:hAnsi="Arial" w:cs="Arial"/>
                <w:color w:val="392C69"/>
                <w:sz w:val="20"/>
                <w:szCs w:val="20"/>
              </w:rPr>
              <w:t xml:space="preserve">, от 28.08.2017 </w:t>
            </w:r>
            <w:hyperlink r:id="rId101" w:history="1">
              <w:r>
                <w:rPr>
                  <w:rFonts w:ascii="Arial" w:hAnsi="Arial" w:cs="Arial"/>
                  <w:color w:val="0000FF"/>
                  <w:sz w:val="20"/>
                  <w:szCs w:val="20"/>
                </w:rPr>
                <w:t>N 1016</w:t>
              </w:r>
            </w:hyperlink>
            <w:r>
              <w:rPr>
                <w:rFonts w:ascii="Arial" w:hAnsi="Arial" w:cs="Arial"/>
                <w:color w:val="392C69"/>
                <w:sz w:val="20"/>
                <w:szCs w:val="20"/>
              </w:rPr>
              <w:t>,</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28.10.2017 </w:t>
            </w:r>
            <w:hyperlink r:id="rId102" w:history="1">
              <w:r>
                <w:rPr>
                  <w:rFonts w:ascii="Arial" w:hAnsi="Arial" w:cs="Arial"/>
                  <w:color w:val="0000FF"/>
                  <w:sz w:val="20"/>
                  <w:szCs w:val="20"/>
                </w:rPr>
                <w:t>N 1311</w:t>
              </w:r>
            </w:hyperlink>
            <w:r>
              <w:rPr>
                <w:rFonts w:ascii="Arial" w:hAnsi="Arial" w:cs="Arial"/>
                <w:color w:val="392C69"/>
                <w:sz w:val="20"/>
                <w:szCs w:val="20"/>
              </w:rPr>
              <w:t xml:space="preserve">, от 10.11.2017 </w:t>
            </w:r>
            <w:hyperlink r:id="rId103" w:history="1">
              <w:r>
                <w:rPr>
                  <w:rFonts w:ascii="Arial" w:hAnsi="Arial" w:cs="Arial"/>
                  <w:color w:val="0000FF"/>
                  <w:sz w:val="20"/>
                  <w:szCs w:val="20"/>
                </w:rPr>
                <w:t>N 1351</w:t>
              </w:r>
            </w:hyperlink>
            <w:r>
              <w:rPr>
                <w:rFonts w:ascii="Arial" w:hAnsi="Arial" w:cs="Arial"/>
                <w:color w:val="392C69"/>
                <w:sz w:val="20"/>
                <w:szCs w:val="20"/>
              </w:rPr>
              <w:t xml:space="preserve">, от 11.11.2017 </w:t>
            </w:r>
            <w:hyperlink r:id="rId104" w:history="1">
              <w:r>
                <w:rPr>
                  <w:rFonts w:ascii="Arial" w:hAnsi="Arial" w:cs="Arial"/>
                  <w:color w:val="0000FF"/>
                  <w:sz w:val="20"/>
                  <w:szCs w:val="20"/>
                </w:rPr>
                <w:t>N 1365</w:t>
              </w:r>
            </w:hyperlink>
            <w:r>
              <w:rPr>
                <w:rFonts w:ascii="Arial" w:hAnsi="Arial" w:cs="Arial"/>
                <w:color w:val="392C69"/>
                <w:sz w:val="20"/>
                <w:szCs w:val="20"/>
              </w:rPr>
              <w:t>,</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30.12.2017 </w:t>
            </w:r>
            <w:hyperlink r:id="rId105" w:history="1">
              <w:r>
                <w:rPr>
                  <w:rFonts w:ascii="Arial" w:hAnsi="Arial" w:cs="Arial"/>
                  <w:color w:val="0000FF"/>
                  <w:sz w:val="20"/>
                  <w:szCs w:val="20"/>
                </w:rPr>
                <w:t>N 1707</w:t>
              </w:r>
            </w:hyperlink>
            <w:r>
              <w:rPr>
                <w:rFonts w:ascii="Arial" w:hAnsi="Arial" w:cs="Arial"/>
                <w:color w:val="392C69"/>
                <w:sz w:val="20"/>
                <w:szCs w:val="20"/>
              </w:rPr>
              <w:t xml:space="preserve">, от 29.06.2018 </w:t>
            </w:r>
            <w:hyperlink r:id="rId106" w:history="1">
              <w:r>
                <w:rPr>
                  <w:rFonts w:ascii="Arial" w:hAnsi="Arial" w:cs="Arial"/>
                  <w:color w:val="0000FF"/>
                  <w:sz w:val="20"/>
                  <w:szCs w:val="20"/>
                </w:rPr>
                <w:t>N 749</w:t>
              </w:r>
            </w:hyperlink>
            <w:r>
              <w:rPr>
                <w:rFonts w:ascii="Arial" w:hAnsi="Arial" w:cs="Arial"/>
                <w:color w:val="392C69"/>
                <w:sz w:val="20"/>
                <w:szCs w:val="20"/>
              </w:rPr>
              <w:t xml:space="preserve">, от 30.06.2018 </w:t>
            </w:r>
            <w:hyperlink r:id="rId107" w:history="1">
              <w:r>
                <w:rPr>
                  <w:rFonts w:ascii="Arial" w:hAnsi="Arial" w:cs="Arial"/>
                  <w:color w:val="0000FF"/>
                  <w:sz w:val="20"/>
                  <w:szCs w:val="20"/>
                </w:rPr>
                <w:t>N 761</w:t>
              </w:r>
            </w:hyperlink>
            <w:r>
              <w:rPr>
                <w:rFonts w:ascii="Arial" w:hAnsi="Arial" w:cs="Arial"/>
                <w:color w:val="392C69"/>
                <w:sz w:val="20"/>
                <w:szCs w:val="20"/>
              </w:rPr>
              <w:t>,</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lastRenderedPageBreak/>
              <w:t xml:space="preserve">от 13.08.2018 </w:t>
            </w:r>
            <w:hyperlink r:id="rId108" w:history="1">
              <w:r>
                <w:rPr>
                  <w:rFonts w:ascii="Arial" w:hAnsi="Arial" w:cs="Arial"/>
                  <w:color w:val="0000FF"/>
                  <w:sz w:val="20"/>
                  <w:szCs w:val="20"/>
                </w:rPr>
                <w:t>N 937</w:t>
              </w:r>
            </w:hyperlink>
            <w:r>
              <w:rPr>
                <w:rFonts w:ascii="Arial" w:hAnsi="Arial" w:cs="Arial"/>
                <w:color w:val="392C69"/>
                <w:sz w:val="20"/>
                <w:szCs w:val="20"/>
              </w:rPr>
              <w:t xml:space="preserve">, от 17.09.2018 </w:t>
            </w:r>
            <w:hyperlink r:id="rId109" w:history="1">
              <w:r>
                <w:rPr>
                  <w:rFonts w:ascii="Arial" w:hAnsi="Arial" w:cs="Arial"/>
                  <w:color w:val="0000FF"/>
                  <w:sz w:val="20"/>
                  <w:szCs w:val="20"/>
                </w:rPr>
                <w:t>N 1096</w:t>
              </w:r>
            </w:hyperlink>
            <w:r>
              <w:rPr>
                <w:rFonts w:ascii="Arial" w:hAnsi="Arial" w:cs="Arial"/>
                <w:color w:val="392C69"/>
                <w:sz w:val="20"/>
                <w:szCs w:val="20"/>
              </w:rPr>
              <w:t xml:space="preserve">, от 27.09.2018 </w:t>
            </w:r>
            <w:hyperlink r:id="rId110" w:history="1">
              <w:r>
                <w:rPr>
                  <w:rFonts w:ascii="Arial" w:hAnsi="Arial" w:cs="Arial"/>
                  <w:color w:val="0000FF"/>
                  <w:sz w:val="20"/>
                  <w:szCs w:val="20"/>
                </w:rPr>
                <w:t>N 1145</w:t>
              </w:r>
            </w:hyperlink>
            <w:r>
              <w:rPr>
                <w:rFonts w:ascii="Arial" w:hAnsi="Arial" w:cs="Arial"/>
                <w:color w:val="392C69"/>
                <w:sz w:val="20"/>
                <w:szCs w:val="20"/>
              </w:rPr>
              <w:t>,</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08.12.2018 </w:t>
            </w:r>
            <w:hyperlink r:id="rId111" w:history="1">
              <w:r>
                <w:rPr>
                  <w:rFonts w:ascii="Arial" w:hAnsi="Arial" w:cs="Arial"/>
                  <w:color w:val="0000FF"/>
                  <w:sz w:val="20"/>
                  <w:szCs w:val="20"/>
                </w:rPr>
                <w:t>N 1496</w:t>
              </w:r>
            </w:hyperlink>
            <w:r>
              <w:rPr>
                <w:rFonts w:ascii="Arial" w:hAnsi="Arial" w:cs="Arial"/>
                <w:color w:val="392C69"/>
                <w:sz w:val="20"/>
                <w:szCs w:val="20"/>
              </w:rPr>
              <w:t xml:space="preserve">, от 21.12.2018 </w:t>
            </w:r>
            <w:hyperlink r:id="rId112" w:history="1">
              <w:r>
                <w:rPr>
                  <w:rFonts w:ascii="Arial" w:hAnsi="Arial" w:cs="Arial"/>
                  <w:color w:val="0000FF"/>
                  <w:sz w:val="20"/>
                  <w:szCs w:val="20"/>
                </w:rPr>
                <w:t>N 1622</w:t>
              </w:r>
            </w:hyperlink>
            <w:r>
              <w:rPr>
                <w:rFonts w:ascii="Arial" w:hAnsi="Arial" w:cs="Arial"/>
                <w:color w:val="392C69"/>
                <w:sz w:val="20"/>
                <w:szCs w:val="20"/>
              </w:rPr>
              <w:t xml:space="preserve">, от 22.06.2019 </w:t>
            </w:r>
            <w:hyperlink r:id="rId113" w:history="1">
              <w:r>
                <w:rPr>
                  <w:rFonts w:ascii="Arial" w:hAnsi="Arial" w:cs="Arial"/>
                  <w:color w:val="0000FF"/>
                  <w:sz w:val="20"/>
                  <w:szCs w:val="20"/>
                </w:rPr>
                <w:t>N 800</w:t>
              </w:r>
            </w:hyperlink>
            <w:r>
              <w:rPr>
                <w:rFonts w:ascii="Arial" w:hAnsi="Arial" w:cs="Arial"/>
                <w:color w:val="392C69"/>
                <w:sz w:val="20"/>
                <w:szCs w:val="20"/>
              </w:rPr>
              <w:t>,</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31.12.2019 </w:t>
            </w:r>
            <w:hyperlink r:id="rId114" w:history="1">
              <w:r>
                <w:rPr>
                  <w:rFonts w:ascii="Arial" w:hAnsi="Arial" w:cs="Arial"/>
                  <w:color w:val="0000FF"/>
                  <w:sz w:val="20"/>
                  <w:szCs w:val="20"/>
                </w:rPr>
                <w:t>N 1947</w:t>
              </w:r>
            </w:hyperlink>
            <w:r>
              <w:rPr>
                <w:rFonts w:ascii="Arial" w:hAnsi="Arial" w:cs="Arial"/>
                <w:color w:val="392C69"/>
                <w:sz w:val="20"/>
                <w:szCs w:val="20"/>
              </w:rPr>
              <w:t xml:space="preserve">, от 10.03.2020 </w:t>
            </w:r>
            <w:hyperlink r:id="rId115" w:history="1">
              <w:r>
                <w:rPr>
                  <w:rFonts w:ascii="Arial" w:hAnsi="Arial" w:cs="Arial"/>
                  <w:color w:val="0000FF"/>
                  <w:sz w:val="20"/>
                  <w:szCs w:val="20"/>
                </w:rPr>
                <w:t>N 262</w:t>
              </w:r>
            </w:hyperlink>
            <w:r>
              <w:rPr>
                <w:rFonts w:ascii="Arial" w:hAnsi="Arial" w:cs="Arial"/>
                <w:color w:val="392C69"/>
                <w:sz w:val="20"/>
                <w:szCs w:val="20"/>
              </w:rPr>
              <w:t xml:space="preserve">, от 01.04.2020 </w:t>
            </w:r>
            <w:hyperlink r:id="rId116" w:history="1">
              <w:r>
                <w:rPr>
                  <w:rFonts w:ascii="Arial" w:hAnsi="Arial" w:cs="Arial"/>
                  <w:color w:val="0000FF"/>
                  <w:sz w:val="20"/>
                  <w:szCs w:val="20"/>
                </w:rPr>
                <w:t>N 403</w:t>
              </w:r>
            </w:hyperlink>
            <w:r>
              <w:rPr>
                <w:rFonts w:ascii="Arial" w:hAnsi="Arial" w:cs="Arial"/>
                <w:color w:val="392C69"/>
                <w:sz w:val="20"/>
                <w:szCs w:val="20"/>
              </w:rPr>
              <w:t>,</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18.04.2020 </w:t>
            </w:r>
            <w:hyperlink r:id="rId117" w:history="1">
              <w:r>
                <w:rPr>
                  <w:rFonts w:ascii="Arial" w:hAnsi="Arial" w:cs="Arial"/>
                  <w:color w:val="0000FF"/>
                  <w:sz w:val="20"/>
                  <w:szCs w:val="20"/>
                </w:rPr>
                <w:t>N 554</w:t>
              </w:r>
            </w:hyperlink>
            <w:r>
              <w:rPr>
                <w:rFonts w:ascii="Arial" w:hAnsi="Arial" w:cs="Arial"/>
                <w:color w:val="392C69"/>
                <w:sz w:val="20"/>
                <w:szCs w:val="20"/>
              </w:rPr>
              <w:t xml:space="preserve">, от 30.04.2020 </w:t>
            </w:r>
            <w:hyperlink r:id="rId118" w:history="1">
              <w:r>
                <w:rPr>
                  <w:rFonts w:ascii="Arial" w:hAnsi="Arial" w:cs="Arial"/>
                  <w:color w:val="0000FF"/>
                  <w:sz w:val="20"/>
                  <w:szCs w:val="20"/>
                </w:rPr>
                <w:t>N 628</w:t>
              </w:r>
            </w:hyperlink>
            <w:r>
              <w:rPr>
                <w:rFonts w:ascii="Arial" w:hAnsi="Arial" w:cs="Arial"/>
                <w:color w:val="392C69"/>
                <w:sz w:val="20"/>
                <w:szCs w:val="20"/>
              </w:rPr>
              <w:t>)</w:t>
            </w:r>
          </w:p>
        </w:tc>
      </w:tr>
    </w:tbl>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bookmarkStart w:id="3" w:name="Par104"/>
      <w:bookmarkEnd w:id="3"/>
      <w:r>
        <w:rPr>
          <w:rFonts w:ascii="Arial" w:eastAsiaTheme="minorHAnsi" w:hAnsi="Arial" w:cs="Arial"/>
          <w:color w:val="auto"/>
          <w:sz w:val="20"/>
          <w:szCs w:val="20"/>
        </w:rPr>
        <w:t>I. Общие положения</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Настоящий документ устанавливает правовые основы функционирования розничных рынков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Понятия, используемые в настоящем документе, означают следующее: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"субъекты розничных рынков" - участники отношений по производству, передаче, купле-продаже (поставке) и потреблению электрической энергии (мощности) на розничных рынках электрической энергии (далее - розничные рынки), а также по оказанию услуг, которые являются неотъемлемой частью процесса поставки электрической энергии потребителям;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"точка поставки на розничном рынке" - место исполнения обязательств по договорам энергоснабжения, купли-продажи (поставки) электрической энергии (мощности), оказания услуг по передаче электрической энергии и услуг, оказание которых является неотъемлемой частью процесса поставки электрической энергии потребителям, используемое для определения объема взаимных обязательств субъектов розничных рынков по указанным договорам, расположенное, если иное не установлено законодательством Российской Федерации об электроэнергетике, на границе балансовой принадлежности энергопринимающих устройств потребителя, объектов по производству электрической энергии (мощности) производителя электрической энергии (мощности), объектов электросетевого хозяйства сетевой организации, определенной в документах о технологическом присоединении, а до составления в установленном порядке документов о технологическом присоединении - в точке присоединения энергопринимающего устройства потребителя (объекта электроэнергетики) к объектам электросетевого хозяйства смежного субъекта электроэнергетики;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19"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07.05.2017 N 542)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"потребитель" - потребитель электрической энергии, приобретающий электрическую энергию (мощность) для собственных бытовых и (или) производственных нужд;</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"покупатель" - покупатель электрической энергии, приобретающий электрическую энергию (мощность) в целях ее продажи, а также исполнитель коммунальных услуг, приобретающий электрическую энергию (мощность) в целях ее использования при предоставлении коммунальной услуги по электроснабжению, а также в случае отсутствия централизованных теплоснабжения и (или) горячего водоснабжения - в целях ее использования при предоставлении коммунальной услуги по отоплению и (или) горячему водоснабжению (далее - исполнитель коммунальной услуги);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абзац утратил силу. - </w:t>
      </w:r>
      <w:hyperlink r:id="rId120" w:history="1">
        <w:r>
          <w:rPr>
            <w:rFonts w:ascii="Arial" w:hAnsi="Arial" w:cs="Arial"/>
            <w:color w:val="0000FF"/>
            <w:sz w:val="20"/>
            <w:szCs w:val="20"/>
          </w:rPr>
          <w:t>Постановление</w:t>
        </w:r>
      </w:hyperlink>
      <w:r>
        <w:rPr>
          <w:rFonts w:ascii="Arial" w:hAnsi="Arial" w:cs="Arial"/>
          <w:sz w:val="20"/>
          <w:szCs w:val="20"/>
        </w:rPr>
        <w:t xml:space="preserve"> Правительства РФ от 23.01.2015 N 47;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"производитель электрической энергии (мощности) на розничном рынке" - собственник или иной законный владелец объекта по производству электрической энергии (мощности), который входит в Единую энергетическую систему России, в отношении которого на оптовом рынке электрической энергии и мощности (далее - оптовый рынок) не зарегистрированы группы точек поставки и установленная генерирующая мощность которого составляет менее 25 МВт или равна либо превышает 25 МВт и на которого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 с использованием которого осуществляется производство электрической энергии (мощности) с целью ее продажи на розничном рынке (нераспространение требования законодательства Российской Федерации об электроэнергетике о реализации производимой электрической энергии (мощности) только на оптовом рынке подтверждается в соответствии с </w:t>
      </w:r>
      <w:hyperlink r:id="rId121" w:history="1">
        <w:r>
          <w:rPr>
            <w:rFonts w:ascii="Arial" w:hAnsi="Arial" w:cs="Arial"/>
            <w:color w:val="0000FF"/>
            <w:sz w:val="20"/>
            <w:szCs w:val="20"/>
          </w:rPr>
          <w:t>Правилами</w:t>
        </w:r>
      </w:hyperlink>
      <w:r>
        <w:rPr>
          <w:rFonts w:ascii="Arial" w:hAnsi="Arial" w:cs="Arial"/>
          <w:sz w:val="20"/>
          <w:szCs w:val="20"/>
        </w:rPr>
        <w:t xml:space="preserve"> оптового рынка электрической энергии и мощности, утвержденными постановлением Правительства Российской Федерации от 27 декабря 2010 г. N 1172 (далее - Правила оптового рынка)), а также собственник или иной законный владелец объекта по производству электрической энергии (мощности)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(в ред. Постановлений Правительства РФ от 27.08.2013 </w:t>
      </w:r>
      <w:hyperlink r:id="rId122" w:history="1">
        <w:r>
          <w:rPr>
            <w:rFonts w:ascii="Arial" w:hAnsi="Arial" w:cs="Arial"/>
            <w:color w:val="0000FF"/>
            <w:sz w:val="20"/>
            <w:szCs w:val="20"/>
          </w:rPr>
          <w:t>N 743</w:t>
        </w:r>
      </w:hyperlink>
      <w:r>
        <w:rPr>
          <w:rFonts w:ascii="Arial" w:hAnsi="Arial" w:cs="Arial"/>
          <w:sz w:val="20"/>
          <w:szCs w:val="20"/>
        </w:rPr>
        <w:t xml:space="preserve">, от 23.01.2015 </w:t>
      </w:r>
      <w:hyperlink r:id="rId123" w:history="1">
        <w:r>
          <w:rPr>
            <w:rFonts w:ascii="Arial" w:hAnsi="Arial" w:cs="Arial"/>
            <w:color w:val="0000FF"/>
            <w:sz w:val="20"/>
            <w:szCs w:val="20"/>
          </w:rPr>
          <w:t>N 47</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целях применения настоящего документа на территориях, объединенных в ценовые и в неценовые зоны оптового рынка, к производителю электрической энергии (мощности) на розничном рынке в пределах объемов продажи, определяемых в соответствии с настоящим документом, также приравнивается субъект розничных рынков, соответствующий одновременно следующим условиям:</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24"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23.01.2015 N 47)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субъект розничных рынков владеет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объема или части объема электрической энергии, потребляемой указанными энергопринимающими устройствами такого субъекта;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25"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23.01.2015 N 47)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отношении указанных объектов по производству электрической энергии (мощности) и энергопринимающих устройств такого субъекта не зарегистрированы группы точек поставки на оптовом рынке;</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26"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23.01.2015 N 47)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на субъекта розничного рынка в части указанных объектов по производству электрической энергии (мощности)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27"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23.01.2015 N 47)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Субъект розничного рынка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в пределах объемов продажи, определяемых в соответствии с настоящим документом, приравнивается к производителю электрической энергии (мощности) на розничном рынке, если такой субъект владеет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объема или части объема электрической энергии, потребляемой указанными энергопринимающими устройствами такого субъекта;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28"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23.01.2015 N 47)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"бездоговорное потребление электрической энергии" - самовольное подключение энергопринимающих устройств к объектам электросетевого хозяйства и (или) потребление электрической энергии в отсутствие заключенного договора, обеспечивающего продажу электрической энергии (мощности) на розничных рынках, потребление электрической энергии в период приостановления поставки электрической энергии по договору, обеспечивающему продажу электрической энергии (мощности) на розничных рынках, в связи с введением полного ограничения режима потребления электрической энергии в случаях, предусмотренных </w:t>
      </w:r>
      <w:hyperlink w:anchor="Par3675" w:history="1">
        <w:r>
          <w:rPr>
            <w:rFonts w:ascii="Arial" w:hAnsi="Arial" w:cs="Arial"/>
            <w:color w:val="0000FF"/>
            <w:sz w:val="20"/>
            <w:szCs w:val="20"/>
          </w:rPr>
          <w:t>Правилами</w:t>
        </w:r>
      </w:hyperlink>
      <w:r>
        <w:rPr>
          <w:rFonts w:ascii="Arial" w:hAnsi="Arial" w:cs="Arial"/>
          <w:sz w:val="20"/>
          <w:szCs w:val="20"/>
        </w:rPr>
        <w:t xml:space="preserve"> полного и (или) частичного ограничения режима потребления электрической энергии, утвержденными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(далее - Правила полного и (или) частичного ограничения режима потребления электрической энергии). Бездоговорным потреблением не признается потребление электрической энергии в отсутствие заключенного договора, обеспечивающего продажу электрической энергии (мощности) на розничных рынках:</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29"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01.04.2020 N 403)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течение 2 месяцев с даты, установленной для принятия гарантирующим поставщиком на обслуживание потребителей;</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30"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01.04.2020 N 403)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период заключения указанного договора в случае обращения потребителя, имеющего намерение заключить с гарантирующим поставщиком договор энергоснабжения (купли-продажи (поставки) электрической энергии (мощности), за заключением такого договора в случае смены собственника </w:t>
      </w:r>
      <w:r>
        <w:rPr>
          <w:rFonts w:ascii="Arial" w:hAnsi="Arial" w:cs="Arial"/>
          <w:sz w:val="20"/>
          <w:szCs w:val="20"/>
        </w:rPr>
        <w:lastRenderedPageBreak/>
        <w:t>энергопринимающего устройства и в случае заключения договора, обеспечивающего продажу электрической энергии (мощности) на розничных рынках, до завершения технологического присоединения энергопринимающих устройств при условии соблюдения сроков, установленных для предоставления гарантирующему поставщику заявления о заключении договора энергоснабжения (купли-продажи (поставки) электрической энергии (мощности) (возвращения гарантирующему поставщику подписанного заявителем проекта договора (протокола разногласий, дополнительного соглашения к действующему договору, обеспечивающему продажу заявителю электрической энергии (мощности) на розничном рынке);</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31"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01.04.2020 N 403)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"безучетное потребление" - потребление электрической энергии с нарушением установленного договором энергоснабжения (купли-продажи (поставки) электрической энергии (мощности), оказания услуг по передаче электрической энергии) и настоящим документом порядка учета электрической энергии со стороны потребителя (покупателя), выразившимся во вмешательстве в работу прибора учета, измерительного комплекса, измерительных трансформаторов тока и (или) напряжения, соединенных между собой по установленной схеме вторичными цепями, через которые приборы учета установлены (подключены) (далее - измерительные трансформаторы), системы учета, компонентов интеллектуальной системы учета электрической энергии (мощности) в случаях нарушения целостности (повреждения) прибора учета, измерительного комплекса, измерительных трансформаторов, нарушения (повреждения) пломб и (или) знаков визуального контроля, нанесенных на прибор учета, измерительный комплекс, измерительные трансформаторы, систему учета, компоненты интеллектуальной системы электрической энергии (мощности), на приспособления, препятствующие доступу к ним, расположенные до места установки прибора учета электрической энергии (точки измерения прибором учета), когда в соответствии с настоящим документом прибор учета, измерительный комплекс, измерительные трансформаторы, система учета, компоненты интеллектуальной системы учета электрической энергии (мощности) установлены в границах балансовой принадлежности потребителя (покупателя) и (или) в границах земельного участка, принадлежащего такому потребителю на праве собственности или ином законном основании, на котором расположены энергопринимающие устройства потребителя (далее - границы земельного участка) или, если обязанность по обеспечению целостности и сохранности прибора учета, измерительного комплекса, измерительных трансформаторов (системы учета) возложена на потребителя (покупателя), а также с нарушением указанного порядка, обнаруженным в границах балансовой принадлежности потребителя (покупателя) подключения энергопринимающих устройств до точки измерения прибором учета или в границах земельного участка потребителя (покупателя) подключения до точки измерения прибором учета энергопринимающих устройств, расположенных в границах этого земельного участка.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32"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18.04.2020 N 554)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Максимальная мощность энергопринимающих устройств потребителя для целей определения его обязательств на розничном рынке, а также для целей отнесения его к подгруппам потребителей, в том числе и при применении гарантирующими поставщиками дифференцированных по группам (подгруппам) потребителей сбытовых надбавок, определяется в соответствии с </w:t>
      </w:r>
      <w:hyperlink r:id="rId133" w:history="1">
        <w:r>
          <w:rPr>
            <w:rFonts w:ascii="Arial" w:hAnsi="Arial" w:cs="Arial"/>
            <w:color w:val="0000FF"/>
            <w:sz w:val="20"/>
            <w:szCs w:val="20"/>
          </w:rPr>
          <w:t>Правилами</w:t>
        </w:r>
      </w:hyperlink>
      <w:r>
        <w:rPr>
          <w:rFonts w:ascii="Arial" w:hAnsi="Arial" w:cs="Arial"/>
          <w:sz w:val="20"/>
          <w:szCs w:val="20"/>
        </w:rP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(далее - Правила недискриминационного доступа к услугам по передаче электрической энергии и оказания этих услуг), в рамках границ балансовой принадлежности в отношении энергопринимающего устройства, принадлежащего на праве собственности или на ином законном основании потребителю, а в случае, если у потребителя несколько энергопринимающих устройств, имеющих между собой электрические связи через принадлежащие потребителю объекты электросетевого хозяйства, для этих целей максимальная мощность определяется в соответствии с указанными </w:t>
      </w:r>
      <w:hyperlink r:id="rId134" w:history="1">
        <w:r>
          <w:rPr>
            <w:rFonts w:ascii="Arial" w:hAnsi="Arial" w:cs="Arial"/>
            <w:color w:val="0000FF"/>
            <w:sz w:val="20"/>
            <w:szCs w:val="20"/>
          </w:rPr>
          <w:t>Правилами</w:t>
        </w:r>
      </w:hyperlink>
      <w:r>
        <w:rPr>
          <w:rFonts w:ascii="Arial" w:hAnsi="Arial" w:cs="Arial"/>
          <w:sz w:val="20"/>
          <w:szCs w:val="20"/>
        </w:rPr>
        <w:t xml:space="preserve"> в отношении такой совокупности энергопринимающих устройств.</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135"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31.07.2013 N 652; в ред. </w:t>
      </w:r>
      <w:hyperlink r:id="rId136"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17.09.2018 N 1096)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настоящем документе:</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137"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23.12.2016 N 1446)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отдельными частями ценовых зон оптового рынка, для которых Правительством Российской Федерации устанавливаются особенности функционирования оптового и розничных рынков, являются территории, предусмотренные </w:t>
      </w:r>
      <w:hyperlink r:id="rId138" w:history="1">
        <w:r>
          <w:rPr>
            <w:rFonts w:ascii="Arial" w:hAnsi="Arial" w:cs="Arial"/>
            <w:color w:val="0000FF"/>
            <w:sz w:val="20"/>
            <w:szCs w:val="20"/>
          </w:rPr>
          <w:t>приложением N 3</w:t>
        </w:r>
      </w:hyperlink>
      <w:r>
        <w:rPr>
          <w:rFonts w:ascii="Arial" w:hAnsi="Arial" w:cs="Arial"/>
          <w:sz w:val="20"/>
          <w:szCs w:val="20"/>
        </w:rPr>
        <w:t xml:space="preserve"> к Правилам оптового рынка электрической энергии и мощности, утвержденным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139"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23.12.2016 N 1446)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отдельными частями ценовых зон оптового рынка, ранее относившимися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являются территории, предусмотренные </w:t>
      </w:r>
      <w:hyperlink r:id="rId140" w:history="1">
        <w:r>
          <w:rPr>
            <w:rFonts w:ascii="Arial" w:hAnsi="Arial" w:cs="Arial"/>
            <w:color w:val="0000FF"/>
            <w:sz w:val="20"/>
            <w:szCs w:val="20"/>
          </w:rPr>
          <w:t>приложением N 4</w:t>
        </w:r>
      </w:hyperlink>
      <w:r>
        <w:rPr>
          <w:rFonts w:ascii="Arial" w:hAnsi="Arial" w:cs="Arial"/>
          <w:sz w:val="20"/>
          <w:szCs w:val="20"/>
        </w:rPr>
        <w:t xml:space="preserve"> к Правилам оптового рынка электрической энергии и мощности, утвержденным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141"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23.12.2016 N 1446)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Иные понятия, используемые в настоящем документе, имеют значения, определенные Федеральным </w:t>
      </w:r>
      <w:hyperlink r:id="rId142" w:history="1">
        <w:r>
          <w:rPr>
            <w:rFonts w:ascii="Arial" w:hAnsi="Arial" w:cs="Arial"/>
            <w:color w:val="0000FF"/>
            <w:sz w:val="20"/>
            <w:szCs w:val="20"/>
          </w:rPr>
          <w:t>законом</w:t>
        </w:r>
      </w:hyperlink>
      <w:r>
        <w:rPr>
          <w:rFonts w:ascii="Arial" w:hAnsi="Arial" w:cs="Arial"/>
          <w:sz w:val="20"/>
          <w:szCs w:val="20"/>
        </w:rPr>
        <w:t xml:space="preserve"> "Об электроэнергетике", иными федеральными законами и нормативными правовыми актами Российской Федерации.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Субъектами розничных рынков являются: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потребители;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исполнители коммунальной услуги;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гарантирующие поставщики;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энергосбытовые, энергоснабжающие организации;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производители электрической энергии (мощности) на розничных рынках;</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сетевые организации;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субъекты оперативно-диспетчерского управления в электроэнергетике, осуществляющие оперативно-диспетчерское управление на розничных рынках (системный оператор и субъекты оперативно-диспетчерского управления в технологически изолированных территориальных электроэнергетических системах).</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В случае если организация - субъект розничного рынка совмещает деятельность по производству электрической энергии (мощности) с деятельностью по ее продаже и (или) в установленных законодательством Российской Федерации об электроэнергетике случаях совмещает деятельность по продаже электрической энергии (мощности) с деятельностью по ее передаче (энергоснабжающая организация), то к отношениям такой организации, связанным с осуществлением каждого из указанных видов деятельности, применяется настоящий документ в части, регулирующей соответствующий вид деятельности. Энергоснабжающая организация, к сетям которой присоединены энергопринимающие устройства, в отношении которых с ней расторгнут договор энергоснабжения, обязана по заявлению обратившегося к ней лица заключить с ним договор оказания услуг по передаче электрической энергии в отношении таких энергопринимающих устройств.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Гарантирующие поставщики, энергосбытовые (энергоснабжающие) организации, производители электрической энергии (мощности) на розничных рынках в отношениях по купле-продаже электрической энергии (мощности) на розничных рынках могут выступать как продавцами электрической энергии, так и покупателями.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Производители электрической энергии (мощности) на розничных рынках в случаях приобретения ими электрической энергии (мощности) для собственных производственных нужд выступают как потребители.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Сетевые организации приобретают электрическую энергию (мощность) на розничных рынках для собственных (хозяйственных) нужд и в целях компенсации потерь электрической энергии в принадлежащих им на праве собственности или на ином законном основании объектах электросетевого хозяйства. В этом случае сетевые организации выступают как потребители.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Иные владельцы объектов электросетевого хозяйства приобретают электрическую энергию (мощность) в целях компенсации потерь электрической энергии, возникающих в принадлежащих им на праве собственности или на ином законном основании объектах электросетевого хозяйства, и выступают в этом случае как потребители.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4" w:name="Par156"/>
      <w:bookmarkEnd w:id="4"/>
      <w:r>
        <w:rPr>
          <w:rFonts w:ascii="Arial" w:hAnsi="Arial" w:cs="Arial"/>
          <w:sz w:val="20"/>
          <w:szCs w:val="20"/>
        </w:rPr>
        <w:t>5. На территориях субъектов Российской Федерации, объединенных в ценовые зоны оптового рынка, электрическая энергия (мощность) продается в следующем порядке: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электрическая энергия (мощность), за исключением продажи электрической энергии (мощности) населению и приравненным к нему категориям потребителей, продается гарантирующими поставщиками по нерегулируемым ценам в рамках предельных уровней нерегулируемых цен, определяемых и применяемых в соответствии с настоящим документом, а энергосбытовыми (энергоснабжающими) организациями - по свободным нерегулируемым ценам;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электрическая энергия (мощность) на розничных рынках, в том числе произведенная на функционирующих на основе использования возобновляемых источников энергии или торфа квалифицированных генерирующих объектах (далее - квалифицированные генерирующие объекты), продается производителем электрической энергии (мощности) на розничном рынке по свободным нерегулируемым ценам, за исключением указанных в </w:t>
      </w:r>
      <w:hyperlink w:anchor="Par612" w:history="1">
        <w:r>
          <w:rPr>
            <w:rFonts w:ascii="Arial" w:hAnsi="Arial" w:cs="Arial"/>
            <w:color w:val="0000FF"/>
            <w:sz w:val="20"/>
            <w:szCs w:val="20"/>
          </w:rPr>
          <w:t>пункте 65(1)</w:t>
        </w:r>
      </w:hyperlink>
      <w:r>
        <w:rPr>
          <w:rFonts w:ascii="Arial" w:hAnsi="Arial" w:cs="Arial"/>
          <w:sz w:val="20"/>
          <w:szCs w:val="20"/>
        </w:rPr>
        <w:t xml:space="preserve"> настоящего документа случаев продажи электрической энергии (мощности), произведенной на квалифицированных генерирующих объектах, сетевым организациям в целях компенсации потерь электрической энергии в принадлежащих им на праве собственности или на ином законном основании объектах электросетевого хозяйства;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43"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28.10.2017 N 1311)</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поставка электрической энергии (мощности) населению и приравненным к нему категориям потребителей, а также поставка электрической энергии (мощности), произведенной на квалифицированных генерирующих объектах, сетевым организациям, определенным в </w:t>
      </w:r>
      <w:hyperlink w:anchor="Par612" w:history="1">
        <w:r>
          <w:rPr>
            <w:rFonts w:ascii="Arial" w:hAnsi="Arial" w:cs="Arial"/>
            <w:color w:val="0000FF"/>
            <w:sz w:val="20"/>
            <w:szCs w:val="20"/>
          </w:rPr>
          <w:t>пункте 65(1)</w:t>
        </w:r>
      </w:hyperlink>
      <w:r>
        <w:rPr>
          <w:rFonts w:ascii="Arial" w:hAnsi="Arial" w:cs="Arial"/>
          <w:sz w:val="20"/>
          <w:szCs w:val="20"/>
        </w:rPr>
        <w:t xml:space="preserve"> настоящего документа, осуществляется по регулируемым ценам (тарифам), установленным органом исполнительной власти субъекта Российской Федерации в области государственного регулирования тарифов.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На территориях субъектов Российской Федерации, объединенных в неценовые зоны оптового рынка,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электрическая энергия (мощность) продается по регулируемым ценам (тарифам) в установленном настоящим документом порядке.</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5 в ред. </w:t>
      </w:r>
      <w:hyperlink r:id="rId144"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23.01.2015 N 47)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Потребители (покупатели), участвующие в сфере обращения электрической энергии на розничных рынках, вправе приобретать электрическую энергию в порядке, определенном настоящим документом, у гарантирующих поставщиков, энергосбытовых (энергоснабжающих) организаций, производителей электрической энергии (мощности) на розничных рынках.</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Производители электрической энергии (мощности), не являющиеся субъектами розничных рынков, не вправе продавать на розничных рынках электрическую энергию (мощность), продажа которой в соответствии с законодательством Российской Федерации об электроэнергетике возможна только на оптовом рынке.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Энергосбытовые (энергоснабжающие) организации, за исключением случаев, указанных в </w:t>
      </w:r>
      <w:hyperlink w:anchor="Par553" w:history="1">
        <w:r>
          <w:rPr>
            <w:rFonts w:ascii="Arial" w:hAnsi="Arial" w:cs="Arial"/>
            <w:color w:val="0000FF"/>
            <w:sz w:val="20"/>
            <w:szCs w:val="20"/>
          </w:rPr>
          <w:t>пункте 58</w:t>
        </w:r>
      </w:hyperlink>
      <w:r>
        <w:rPr>
          <w:rFonts w:ascii="Arial" w:hAnsi="Arial" w:cs="Arial"/>
          <w:sz w:val="20"/>
          <w:szCs w:val="20"/>
        </w:rPr>
        <w:t xml:space="preserve"> настоящего документа, покупают электрическую энергию (мощность) на оптовом или розничных рынках с использованием тех же точек поставки, в которых ими осуществляется продажа электрической энергии (мощности) на розничном рынке обслуживаемым потребителям (покупателям).</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45"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07.07.2017 N 810)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Договоры, заключенные с нарушением установленных настоящим документом требований к их заключению и (или) содержащие условия, не соответствующие настоящему документу, могут быть </w:t>
      </w:r>
      <w:r>
        <w:rPr>
          <w:rFonts w:ascii="Arial" w:hAnsi="Arial" w:cs="Arial"/>
          <w:sz w:val="20"/>
          <w:szCs w:val="20"/>
        </w:rPr>
        <w:lastRenderedPageBreak/>
        <w:t>признаны недействительными полностью или в какой-либо части в соответствии с гражданским законодательством Российской Федерации.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7. Субъекты электроэнергетики, обеспечивающие снабжение электрической энергией потребителей, в том числе гарантирующие поставщики, энергосбытовые (энергоснабжающие) организации, сетевые организации, системный оператор и субъекты оперативно-диспетчерского управления в технологически изолированных территориальных электроэнергетических системах, а также производители электрической энергии (мощности), в ходе исполнения своих обязательств по заключаемым ими на оптовом рынке и розничных рынках договорам совместными действиями обеспечивают на розничных рынках надежность снабжения потребителей и качество электрической энергии. Требования к надежности энергоснабжения и качеству электрической энергии устанавливаются в соответствии с законодательством Российской Федерации.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Наличие оснований и размер ответственности субъектов электроэнергетики перед потребителями за действия (бездействие), повлекшие за собой неблагоприятные последствия, определяются в соответствии с гражданским законодательством Российской Федерации и законодательством Российской Федерации об электроэнергетике.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Ответственность субъектов электроэнергетики перед исполнителями и потребителями коммунальной услуги за ограничение режима потребления электрической энергии сверх допустимого числа часов ограничения, отклонения показателей надежности и качества электрической энергии сверх величин, установленных законодательством Российской Федерации о техническом регулировании, определяется в том числе в соответствии с жилищным законодательством Российской Федерации.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8. Действия, подлежащие в соответствии с настоящим документом исполнению субъектами розничных рынков, в том числе действия по вводу приборов учета в эксплуатацию, по установке пломб и (или) знаков визуального контроля по завершении процедуры ввода прибора учета в эксплуатацию, по снятию и предоставлению показаний приборов учета, совершаются ими без взимания платы за их совершение, если иное прямо не установлено в настоящем документе.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8(1). Для целей настоящего документа под уведомлением понимается вручение уведомления лицу, которому оно адресовано, или его направление такому лицу одним из следующих способов (за исключением случаев, когда для отдельных видов уведомлений прямо предусмотрены иные способы):</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 заказное почтовое отправление - если адресатом является гражданин, то уведомление отправляется по адресу регистрации гражданина или месту жительства, или по адресу, который гражданин указал сам в договоре энергоснабжения (купли-продажи (поставки) электрической энергии (мощности), оказания услуг по передаче электрической энергии), или, если адресатом является индивидуальный предприниматель или юридическое лицо, то уведомление отправляется по адресу, указанному в Едином государственном реестре индивидуальных предпринимателей или Едином государственном реестре юридических лиц, или по адресу, указанному индивидуальным предпринимателем или юридическим лицом в соответствующем договоре. Уведомления, направленные по указанным адресам, считаются полученными, даже если соответствующее лицо фактически не проживает (не находится) по указанному адресу, по истечении контрольных сроков пересылки письменной корреспонденции;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б) включение текста уведомления в счет на оплату потребленной электрической энергии (мощности), оказанных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электронная почта - по адресу электронной почты, который указан в соответствующем договоре. При этом уведомление считается полученным в момент его направления;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 направление короткого текстового сообщения (далее - смс-сообщение) на выделенный оператором подвижной радиотелефонной связи абонентский номер (далее - номер мобильного телефона), который указан в соответствующем договоре. При этом уведомление считается полученным в момент его направления;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 факсимильная или другие телекоммуникационные каналы связи - при условии наличия возможности достоверно установить, от кого исходило сообщение и кому оно адресовано. При этом уведомление считается полученным в момент его направления.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8(1) введен </w:t>
      </w:r>
      <w:hyperlink r:id="rId146"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18.04.2020 N 554)</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bookmarkStart w:id="5" w:name="Par180"/>
      <w:bookmarkEnd w:id="5"/>
      <w:r>
        <w:rPr>
          <w:rFonts w:ascii="Arial" w:eastAsiaTheme="minorHAnsi" w:hAnsi="Arial" w:cs="Arial"/>
          <w:color w:val="auto"/>
          <w:sz w:val="20"/>
          <w:szCs w:val="20"/>
        </w:rPr>
        <w:t>II. Правила деятельности гарантирующих поставщиков</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9. Организация, имеющая статус гарантирующего поставщика, осуществляет деятельность в качестве гарантирующего поставщика до присвоения статуса гарантирующего поставщика в соответствующей зоне деятельности другой организации в порядке, определенном в </w:t>
      </w:r>
      <w:hyperlink w:anchor="Par1588" w:history="1">
        <w:r>
          <w:rPr>
            <w:rFonts w:ascii="Arial" w:hAnsi="Arial" w:cs="Arial"/>
            <w:color w:val="0000FF"/>
            <w:sz w:val="20"/>
            <w:szCs w:val="20"/>
          </w:rPr>
          <w:t>разделе XI</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Гарантирующий поставщик обязан:</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заключать в соответствии с </w:t>
      </w:r>
      <w:hyperlink w:anchor="Par295" w:history="1">
        <w:r>
          <w:rPr>
            <w:rFonts w:ascii="Arial" w:hAnsi="Arial" w:cs="Arial"/>
            <w:color w:val="0000FF"/>
            <w:sz w:val="20"/>
            <w:szCs w:val="20"/>
          </w:rPr>
          <w:t>разделом III</w:t>
        </w:r>
      </w:hyperlink>
      <w:r>
        <w:rPr>
          <w:rFonts w:ascii="Arial" w:hAnsi="Arial" w:cs="Arial"/>
          <w:sz w:val="20"/>
          <w:szCs w:val="20"/>
        </w:rPr>
        <w:t xml:space="preserve"> настоящего документа договор энергоснабжения (купли-продажи (поставки) электрической энергии (мощности)) с любым обратившимся к нему физическим или юридическим лицом в отношении энергопринимающих устройств, расположенных в границах зоны деятельности гарантирующего поставщика, а также по основаниям и в порядке, которые установлены в настоящем разделе, принимать на обслуживание любого потребителя, энергопринимающие устройства которого расположены в границах зоны деятельности гарантирующего поставщика, в отсутствие обращения потребителя;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порядке, установленном в </w:t>
      </w:r>
      <w:hyperlink w:anchor="Par295" w:history="1">
        <w:r>
          <w:rPr>
            <w:rFonts w:ascii="Arial" w:hAnsi="Arial" w:cs="Arial"/>
            <w:color w:val="0000FF"/>
            <w:sz w:val="20"/>
            <w:szCs w:val="20"/>
          </w:rPr>
          <w:t>разделе III</w:t>
        </w:r>
      </w:hyperlink>
      <w:r>
        <w:rPr>
          <w:rFonts w:ascii="Arial" w:hAnsi="Arial" w:cs="Arial"/>
          <w:sz w:val="20"/>
          <w:szCs w:val="20"/>
        </w:rPr>
        <w:t xml:space="preserve"> настоящего документа, определять по итогам каждого расчетного периода объемы продажи электрической энергии (мощности) по договорам купли-продажи (поставки) электрической энергии (мощности), заключенным производителями электрической энергии (мощности) на розничных рынках с потребителями, энергосбытовыми (энергоснабжающими) организациями и (или) с указанным в настоящем абзаце гарантирующим поставщиком, в отношении энергопринимающих устройств,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указанными договорами исполняются обязательства по поставке электрической энергии (мощности) такими производителями, и по договорам купли-продажи (поставки) электрической энергии (мощности) в целях компенсации потерь электрической энергии, заключенным производителями электрической энергии (мощности) на розничных рынках с сетевыми организациями в отношении объектов электросетевого хозяйства,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указанными договорами исполняются обязательства по поставке электрической энергии (мощности) такими производителями, а также осуществлять в отношении таких энергопринимающих устройств и объектов электросетевого хозяйства продажу электрической энергии (мощности) в объеме, не обеспеченном продажей по указанным договорам;</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47"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23.01.2015 N 47)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6" w:name="Par187"/>
      <w:bookmarkEnd w:id="6"/>
      <w:r>
        <w:rPr>
          <w:rFonts w:ascii="Arial" w:hAnsi="Arial" w:cs="Arial"/>
          <w:sz w:val="20"/>
          <w:szCs w:val="20"/>
        </w:rPr>
        <w:t xml:space="preserve">соблюдать требования, установленные </w:t>
      </w:r>
      <w:hyperlink w:anchor="Par198" w:history="1">
        <w:r>
          <w:rPr>
            <w:rFonts w:ascii="Arial" w:hAnsi="Arial" w:cs="Arial"/>
            <w:color w:val="0000FF"/>
            <w:sz w:val="20"/>
            <w:szCs w:val="20"/>
          </w:rPr>
          <w:t>пунктом 11</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поддерживать показатели финансового состояния согласно </w:t>
      </w:r>
      <w:hyperlink w:anchor="Par2569" w:history="1">
        <w:r>
          <w:rPr>
            <w:rFonts w:ascii="Arial" w:hAnsi="Arial" w:cs="Arial"/>
            <w:color w:val="0000FF"/>
            <w:sz w:val="20"/>
            <w:szCs w:val="20"/>
          </w:rPr>
          <w:t>приложению N 1</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надлежащим образом исполнять обязательства перед потребителями (покупателями), поставщиками электрической энергии (мощности) на оптовом рынке и на розничных рынках, сетевыми организациями,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 организациями коммерческой инфраструктуры оптового рынка;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абзац утратил силу. - </w:t>
      </w:r>
      <w:hyperlink r:id="rId148" w:history="1">
        <w:r>
          <w:rPr>
            <w:rFonts w:ascii="Arial" w:hAnsi="Arial" w:cs="Arial"/>
            <w:color w:val="0000FF"/>
            <w:sz w:val="20"/>
            <w:szCs w:val="20"/>
          </w:rPr>
          <w:t>Постановление</w:t>
        </w:r>
      </w:hyperlink>
      <w:r>
        <w:rPr>
          <w:rFonts w:ascii="Arial" w:hAnsi="Arial" w:cs="Arial"/>
          <w:sz w:val="20"/>
          <w:szCs w:val="20"/>
        </w:rPr>
        <w:t xml:space="preserve"> Правительства РФ от 11.10.2016 N 1030;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предоставлять 1 раз в календарный год в письменном и электронном виде в орган исполнительной власти в области государственного регулирования тарифов субъекта Российской Федерации, на территории которого расположена зона деятельности гарантирующего поставщика, или в иной орган исполнительной власти такого субъекта Российской Федерации, уполномоченный на участие в замене гарантирующих поставщиков (далее - уполномоченный орган субъекта Российской Федерации), 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(далее - уполномоченный федеральный орган), информацию о потребителях по формам согласно </w:t>
      </w:r>
      <w:hyperlink w:anchor="Par2649" w:history="1">
        <w:r>
          <w:rPr>
            <w:rFonts w:ascii="Arial" w:hAnsi="Arial" w:cs="Arial"/>
            <w:color w:val="0000FF"/>
            <w:sz w:val="20"/>
            <w:szCs w:val="20"/>
          </w:rPr>
          <w:t>приложению N 2</w:t>
        </w:r>
      </w:hyperlink>
      <w:r>
        <w:rPr>
          <w:rFonts w:ascii="Arial" w:hAnsi="Arial" w:cs="Arial"/>
          <w:sz w:val="20"/>
          <w:szCs w:val="20"/>
        </w:rPr>
        <w:t>. Указанная информация также может быть представлена в уполномоченный орган субъекта Российской Федерации в электронном виде, обеспечивающем защиту от изменения (дополнения) данных, с письмом, подписанным руководителем или иным уполномоченным лицом гарантирующего поставщика;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49"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11.11.2017 N 1365)</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представлять в уполномоченный орган субъекта Российской Федерации не позднее 40 дней после окончания отчетного периода бухгалтерскую (финансовую) отчетность за I квартал, за первое полугодие и за 9 месяцев, не позднее 100 дней после окончания отчетного года - годовую бухгалтерскую (финансовую) отчетность (с отметкой налогового органа) и расчет показателей финансового состояния в соответствии с </w:t>
      </w:r>
      <w:hyperlink w:anchor="Par2569" w:history="1">
        <w:r>
          <w:rPr>
            <w:rFonts w:ascii="Arial" w:hAnsi="Arial" w:cs="Arial"/>
            <w:color w:val="0000FF"/>
            <w:sz w:val="20"/>
            <w:szCs w:val="20"/>
          </w:rPr>
          <w:t>приложением N 1</w:t>
        </w:r>
      </w:hyperlink>
      <w:r>
        <w:rPr>
          <w:rFonts w:ascii="Arial" w:hAnsi="Arial" w:cs="Arial"/>
          <w:sz w:val="20"/>
          <w:szCs w:val="20"/>
        </w:rPr>
        <w:t xml:space="preserve"> к настоящему документу. Указанные документы должны быть подписаны руководителем и заверены печатью гарантирующего поставщика (при наличии печати). Достоверность данных годовой бухгалтерской (финансовой) и налоговой отчетности должна быть подтверждена заключением аудиторской проверки, представляемым в уполномоченный орган субъекта Российской Федерации не позднее 1 июня года, следующего за отчетным, в случаях если такая проверка в соответствии с законодательством Российской Федерации является обязательной для организации, осуществляющей функции гарантирующего поставщика.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Постановлений Правительства РФ от 30.01.2013 </w:t>
      </w:r>
      <w:hyperlink r:id="rId150" w:history="1">
        <w:r>
          <w:rPr>
            <w:rFonts w:ascii="Arial" w:hAnsi="Arial" w:cs="Arial"/>
            <w:color w:val="0000FF"/>
            <w:sz w:val="20"/>
            <w:szCs w:val="20"/>
          </w:rPr>
          <w:t>N 67</w:t>
        </w:r>
      </w:hyperlink>
      <w:r>
        <w:rPr>
          <w:rFonts w:ascii="Arial" w:hAnsi="Arial" w:cs="Arial"/>
          <w:sz w:val="20"/>
          <w:szCs w:val="20"/>
        </w:rPr>
        <w:t xml:space="preserve">, от 24.05.2017 </w:t>
      </w:r>
      <w:hyperlink r:id="rId151" w:history="1">
        <w:r>
          <w:rPr>
            <w:rFonts w:ascii="Arial" w:hAnsi="Arial" w:cs="Arial"/>
            <w:color w:val="0000FF"/>
            <w:sz w:val="20"/>
            <w:szCs w:val="20"/>
          </w:rPr>
          <w:t>N 624</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10. Гарантирующий поставщик в целях обеспечения качественного и своевременного обслуживания потребителей (покупателей) обязан внедрять:</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стандарты качества обслуживания потребителей (покупателей), отвечающие установленным </w:t>
      </w:r>
      <w:hyperlink w:anchor="Par198" w:history="1">
        <w:r>
          <w:rPr>
            <w:rFonts w:ascii="Arial" w:hAnsi="Arial" w:cs="Arial"/>
            <w:color w:val="0000FF"/>
            <w:sz w:val="20"/>
            <w:szCs w:val="20"/>
          </w:rPr>
          <w:t>пунктом 11</w:t>
        </w:r>
      </w:hyperlink>
      <w:r>
        <w:rPr>
          <w:rFonts w:ascii="Arial" w:hAnsi="Arial" w:cs="Arial"/>
          <w:sz w:val="20"/>
          <w:szCs w:val="20"/>
        </w:rPr>
        <w:t xml:space="preserve"> настоящего документа требованиям;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программы мероприятий по повышению качества обслуживания потребителей (покупателей).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7" w:name="Par198"/>
      <w:bookmarkEnd w:id="7"/>
      <w:r>
        <w:rPr>
          <w:rFonts w:ascii="Arial" w:hAnsi="Arial" w:cs="Arial"/>
          <w:sz w:val="20"/>
          <w:szCs w:val="20"/>
        </w:rPr>
        <w:t>11. Обслуживание гарантирующим поставщиком потребителей (покупателей) осуществляется в соответствии со следующими требованиями: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осуществление разработки, размещения и опубликования разработанных форм договора энергоснабжения (купли-продажи (поставки) электрической энергии (мощности)) в соответствии с требованиями </w:t>
      </w:r>
      <w:hyperlink w:anchor="Par353" w:history="1">
        <w:r>
          <w:rPr>
            <w:rFonts w:ascii="Arial" w:hAnsi="Arial" w:cs="Arial"/>
            <w:color w:val="0000FF"/>
            <w:sz w:val="20"/>
            <w:szCs w:val="20"/>
          </w:rPr>
          <w:t>пункта 33</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заключение с потребителем (покупателем) договора энергоснабжения (купли-продажи (поставки) электрической энергии (мощности)) в соответствии с </w:t>
      </w:r>
      <w:hyperlink w:anchor="Par295" w:history="1">
        <w:r>
          <w:rPr>
            <w:rFonts w:ascii="Arial" w:hAnsi="Arial" w:cs="Arial"/>
            <w:color w:val="0000FF"/>
            <w:sz w:val="20"/>
            <w:szCs w:val="20"/>
          </w:rPr>
          <w:t>разделом III</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наличие и функционирование центров очного обслуживания потребителей (покупателей) (обслуживание посредством личного контакта с работниками организации), а также осуществление заочного обслуживания потребителей (покупателей) (обслуживание потребителей с безличным контактом с работниками организации, в том числе по телефону, почте или через информационно-телекоммуникационную сеть "Интернет" (далее - сеть "Интернет"), а также обеспечение наличия бесплатных телефонных или телекоммуникационных каналов связи между гарантирующим поставщиком и потребителями;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снятие и прием показаний приборов учета, а также обеспечение приема показаний приборов учета от потребителей (покупателей) способами, допускающими возможность удаленной передачи сведений о показаниях приборов учета (телефон, сеть "Интернет" и др.), в порядке, предусмотренном </w:t>
      </w:r>
      <w:hyperlink w:anchor="Par1220" w:history="1">
        <w:r>
          <w:rPr>
            <w:rFonts w:ascii="Arial" w:hAnsi="Arial" w:cs="Arial"/>
            <w:color w:val="0000FF"/>
            <w:sz w:val="20"/>
            <w:szCs w:val="20"/>
          </w:rPr>
          <w:t>разделом X</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обеспечение выставления потребителю (покупателю) счетов на оплату электрической энергии способами, допускающими возможность их удаленной передачи (почта, сеть "Интернет" и др.);</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обеспечение потребителю (покупателю) возможности внесения платы по договору энергоснабжения (купли-продажи (поставки) электрической энергии (мощности)) различными способами, в том числе непосредственно гарантирующему поставщику без оплаты комиссии;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52"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21.07.2017 N 863)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8" w:name="Par206"/>
      <w:bookmarkEnd w:id="8"/>
      <w:r>
        <w:rPr>
          <w:rFonts w:ascii="Arial" w:hAnsi="Arial" w:cs="Arial"/>
          <w:sz w:val="20"/>
          <w:szCs w:val="20"/>
        </w:rPr>
        <w:t>организация службы приема обращений потребителей (покупателей) по вопросам поставки некачественной электрической энергии или прекращения поставки электрической энергии, а также оповещения потребителей (покупателей) о причинах поставки некачественной электрической энергии или прекращения поставки электрической энергии и о планируемых сроках устранения указанных нарушений;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организация приема иных, не указанных в </w:t>
      </w:r>
      <w:hyperlink w:anchor="Par206" w:history="1">
        <w:r>
          <w:rPr>
            <w:rFonts w:ascii="Arial" w:hAnsi="Arial" w:cs="Arial"/>
            <w:color w:val="0000FF"/>
            <w:sz w:val="20"/>
            <w:szCs w:val="20"/>
          </w:rPr>
          <w:t>абзаце восьмом</w:t>
        </w:r>
      </w:hyperlink>
      <w:r>
        <w:rPr>
          <w:rFonts w:ascii="Arial" w:hAnsi="Arial" w:cs="Arial"/>
          <w:sz w:val="20"/>
          <w:szCs w:val="20"/>
        </w:rPr>
        <w:t xml:space="preserve"> настоящего пункта обращений потребителей (покупателей) в адрес гарантирующего поставщика письменно или устно, в том числе посредством телефонной связи, сети "Интернет", электронной почты, а также оперативного ответа на них по существу с возможностью решения вопроса потребителя (покупателя) за 1 обращение;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предоставление потребителям (покупателям) путем размещения в центрах очного обслуживания и (или) на официальном сайте в сети "Интернет", а также по его запросу следующей информации: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документы, необходимые для заключения договора энергоснабжения (купли-продажи (поставки) электрической энергии (мощности)), порядок его заключения, а также порядок получения информации о состоянии процесса заключения договора с потребителем (покупателем);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формы договора энергоснабжения (купли-продажи (поставки) электрической энергии (мощности)), разработанные и размещенные гарантирующим поставщиком в соответствии с </w:t>
      </w:r>
      <w:hyperlink w:anchor="Par353" w:history="1">
        <w:r>
          <w:rPr>
            <w:rFonts w:ascii="Arial" w:hAnsi="Arial" w:cs="Arial"/>
            <w:color w:val="0000FF"/>
            <w:sz w:val="20"/>
            <w:szCs w:val="20"/>
          </w:rPr>
          <w:t>пунктом 33</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разработанные и внедренные гарантирующим поставщиком стандарты качества обслуживания потребителей (покупателей) и изменения указанных стандартов;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порядок и условия внесения платежей по договору энергоснабжения (купли-продажи (поставки)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порядок и условия приема показаний приборов учета и последствия вывода из строя приборов учета либо отсутствия приборов учета;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возможные последствия нарушения обязательств по оплате электрической энергии в виде введения полного и (или) частичного ограничения режима потребления электрической энергии, а по запросу потребителя - размер задолженности по оплате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размер и порядок расчета стоимости электрической энергии, действующие тарифы и льготы;</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график обслуживания потребителей (покупателей) в центрах очного и заочного обслуживания потребителей (покупателей), а также адреса и телефоны указанных центров;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порядок подачи обращений, претензий и жалоб на действия гарантирующего поставщика;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иные, наиболее часто задаваемые вопросы, возникающие у потребителей (покупателей), и ответы на них.</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12. Гарантирующий поставщик продает на розничном рынке электрическую энергию (мощность), приобретенную им на оптовом рынке с использованием группы (групп) точек поставки, соответствующей его зоне деятельности (за исключением гарантирующих поставщиков, чья зона деятельности располагается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а также в случаях, предусмотренных настоящим документом, у производителей электрической энергии (мощности) на розничных рынках, энергосбытовых (энергоснабжающих) организаций на розничном рынке.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9" w:name="Par220"/>
      <w:bookmarkEnd w:id="9"/>
      <w:r>
        <w:rPr>
          <w:rFonts w:ascii="Arial" w:hAnsi="Arial" w:cs="Arial"/>
          <w:sz w:val="20"/>
          <w:szCs w:val="20"/>
        </w:rPr>
        <w:t xml:space="preserve">13. Гарантирующий поставщик, функционирующий на территории субъекта Российской Федерации, входящего в ценовую или в неценовую зону оптового рынка, до даты начала его участия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или до даты включения в соответствии с </w:t>
      </w:r>
      <w:hyperlink w:anchor="Par1947" w:history="1">
        <w:r>
          <w:rPr>
            <w:rFonts w:ascii="Arial" w:hAnsi="Arial" w:cs="Arial"/>
            <w:color w:val="0000FF"/>
            <w:sz w:val="20"/>
            <w:szCs w:val="20"/>
          </w:rPr>
          <w:t>пунктом 229</w:t>
        </w:r>
      </w:hyperlink>
      <w:r>
        <w:rPr>
          <w:rFonts w:ascii="Arial" w:hAnsi="Arial" w:cs="Arial"/>
          <w:sz w:val="20"/>
          <w:szCs w:val="20"/>
        </w:rPr>
        <w:t xml:space="preserve"> настоящего документа зоны его деятельности в качестве гарантирующего поставщика, в отношении которой им не осуществляется покупка электрической энергии (мощности) на оптовом рынке, в зону деятельности гарантирующего поставщика - участника оптового рынка, функционирующего на территории того же субъекта Российской Федерации, приобретает электрическую энергию (мощность) у указанного гарантирующего поставщика - участника оптового рынка.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14. Гарантирующий поставщик обязан совершать действия по принятию на обслуживание потребителей, энергопринимающие устройства которых расположены в границах зоны его деятельности, в отсутствие их обращений в случаях, установленных в настоящем разделе.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0" w:name="Par222"/>
      <w:bookmarkEnd w:id="10"/>
      <w:r>
        <w:rPr>
          <w:rFonts w:ascii="Arial" w:hAnsi="Arial" w:cs="Arial"/>
          <w:sz w:val="20"/>
          <w:szCs w:val="20"/>
        </w:rPr>
        <w:t>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1" w:name="Par223"/>
      <w:bookmarkEnd w:id="11"/>
      <w:r>
        <w:rPr>
          <w:rFonts w:ascii="Arial" w:hAnsi="Arial" w:cs="Arial"/>
          <w:sz w:val="20"/>
          <w:szCs w:val="20"/>
        </w:rPr>
        <w:lastRenderedPageBreak/>
        <w:t>присвоение указанной организации статуса гарантирующего поставщика;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2" w:name="Par224"/>
      <w:bookmarkEnd w:id="12"/>
      <w:r>
        <w:rPr>
          <w:rFonts w:ascii="Arial" w:hAnsi="Arial" w:cs="Arial"/>
          <w:sz w:val="20"/>
          <w:szCs w:val="20"/>
        </w:rPr>
        <w:t>изменение в соответствии с настоящим документом границ зон деятельности гарантирующего поставщика с включением в его зону деятельности территории, соответствующей всей зоне деятельности иного гарантирующего поставщика или ее части;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3" w:name="Par225"/>
      <w:bookmarkEnd w:id="13"/>
      <w:r>
        <w:rPr>
          <w:rFonts w:ascii="Arial" w:hAnsi="Arial" w:cs="Arial"/>
          <w:sz w:val="20"/>
          <w:szCs w:val="20"/>
        </w:rPr>
        <w:t>принятие энергосбытовой (энергоснабжающей) организацией решения о ее ликвидации или о прекращении ею деятельности по продаже электрической энергии (мощности) потребителям. Указанная организация обязана уведомить о принятом решении уполномоченный орган субъекта Российской Федерации в течение 5 рабочих дней со дня принятия такого решения с указанием предполагаемой даты ликвидации или даты прекращения деятельности по продаже электрической энергии (мощности), которая не может наступить ранее 2 месяцев со дня надлежащего уведомления уполномоченного органа субъекта Российской Федерации об этом способе, позволяющем подтвердить получение указанного уведомления;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признание банкротом энергосбытовой (энергоснабжающей) организации и начало процедуры конкурсного производства. Указанная организация уведомляет уполномоченный орган субъекта Российской Федерации о признании ее банкротом в течение 5 рабочих дней со дня принятия арбитражным судом соответствующего решения способом, позволяющим подтвердить получение указанного уведомления;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принятие советом рынка в соответствии с </w:t>
      </w:r>
      <w:hyperlink r:id="rId153" w:history="1">
        <w:r>
          <w:rPr>
            <w:rFonts w:ascii="Arial" w:hAnsi="Arial" w:cs="Arial"/>
            <w:color w:val="0000FF"/>
            <w:sz w:val="20"/>
            <w:szCs w:val="20"/>
          </w:rPr>
          <w:t>Правилами</w:t>
        </w:r>
      </w:hyperlink>
      <w:r>
        <w:rPr>
          <w:rFonts w:ascii="Arial" w:hAnsi="Arial" w:cs="Arial"/>
          <w:sz w:val="20"/>
          <w:szCs w:val="20"/>
        </w:rPr>
        <w:t xml:space="preserve"> оптового рынка решения об исключении энергосбытовой (энергоснабжающей) организации из реестра субъектов оптового рынка и (или) прекращении поставки (покупки) электрической энергии и мощности на оптовом рынке в соответствующей группе точек поставки, если энергосбытовой (энергоснабжающей) организацией не обеспечено приобретение соответствующего объема электроэнергии на розничном рынке. В этом случае совет рынка в течение 3 рабочих дней со дня принятия соответствующего решения уведомляет об этом уполномоченный орган субъекта Российской Федерации и уполномоченный федеральный орган способом, позволяющим подтвердить получение указанного уведомления;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54"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11.11.2017 N 1365)</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неисполнение или ненадлежащее исполнение энергосбытовой (энергоснабжающей) организацией, исполнителем коммунальных услуг обязательств по оплате электрической энергии (мощности) на розничном рынке и (или) услуг по передаче электрической энергии, если такое неисполнение или ненадлежащее исполнение влечет в соответствии с условиями договора отказ в одностороннем порядке гарантирующего поставщика и (или) сетевой организации от исполнения договора полностью. Организация, перед которой не исполнены или ненадлежащим образом исполнены обязательства, уведомляет уполномоченный орган субъекта Российской Федерации о наступлении указанного события путем направления документов, подтверждающих неисполнение или ненадлежащее исполнение энергосбытовой (энергоснабжающей) организацией, исполнителем коммунальных услуг обязательств по оплате электрической энергии (мощности) и (или) услуг по передаче электрической энергии (акты сверки взаиморасчетов и (или) вступившие в законную силу решения суда), способом, позволяющим подтвердить получение указанного уведомления;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55"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4" w:name="Par231"/>
      <w:bookmarkEnd w:id="14"/>
      <w:r>
        <w:rPr>
          <w:rFonts w:ascii="Arial" w:hAnsi="Arial" w:cs="Arial"/>
          <w:sz w:val="20"/>
          <w:szCs w:val="20"/>
        </w:rPr>
        <w:t xml:space="preserve">отказ гарантирующего поставщика в соответствии с </w:t>
      </w:r>
      <w:hyperlink w:anchor="Par522" w:history="1">
        <w:r>
          <w:rPr>
            <w:rFonts w:ascii="Arial" w:hAnsi="Arial" w:cs="Arial"/>
            <w:color w:val="0000FF"/>
            <w:sz w:val="20"/>
            <w:szCs w:val="20"/>
          </w:rPr>
          <w:t>пунктами 53</w:t>
        </w:r>
      </w:hyperlink>
      <w:r>
        <w:rPr>
          <w:rFonts w:ascii="Arial" w:hAnsi="Arial" w:cs="Arial"/>
          <w:sz w:val="20"/>
          <w:szCs w:val="20"/>
        </w:rPr>
        <w:t xml:space="preserve"> и </w:t>
      </w:r>
      <w:hyperlink w:anchor="Par961" w:history="1">
        <w:r>
          <w:rPr>
            <w:rFonts w:ascii="Arial" w:hAnsi="Arial" w:cs="Arial"/>
            <w:color w:val="0000FF"/>
            <w:sz w:val="20"/>
            <w:szCs w:val="20"/>
          </w:rPr>
          <w:t>106</w:t>
        </w:r>
      </w:hyperlink>
      <w:r>
        <w:rPr>
          <w:rFonts w:ascii="Arial" w:hAnsi="Arial" w:cs="Arial"/>
          <w:sz w:val="20"/>
          <w:szCs w:val="20"/>
        </w:rPr>
        <w:t xml:space="preserve"> настоящего документа от исполнения договора энергоснабжения (купли-продажи (поставки) электрической энергии (мощности)), заключенного с энергосбытовой (энергоснабжающей) организацией или исполнителем коммунальных услуг. В этом случае гарантирующий поставщик уведомляет об этом уполномоченный орган субъекта Российской Федерации способом, позволяющим подтвердить получение указанного уведомления, не позднее 2 рабочих дней со дня направления им энергосбытовой (энергоснабжающей) организации или исполнителю коммунальных услуг уведомления в соответствии с </w:t>
      </w:r>
      <w:hyperlink w:anchor="Par522" w:history="1">
        <w:r>
          <w:rPr>
            <w:rFonts w:ascii="Arial" w:hAnsi="Arial" w:cs="Arial"/>
            <w:color w:val="0000FF"/>
            <w:sz w:val="20"/>
            <w:szCs w:val="20"/>
          </w:rPr>
          <w:t>пунктом 53</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56"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08.12.2018 N 1496)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5" w:name="Par233"/>
      <w:bookmarkEnd w:id="15"/>
      <w:r>
        <w:rPr>
          <w:rFonts w:ascii="Arial" w:hAnsi="Arial" w:cs="Arial"/>
          <w:sz w:val="20"/>
          <w:szCs w:val="20"/>
        </w:rPr>
        <w:t xml:space="preserve">абзац утратил силу. - </w:t>
      </w:r>
      <w:hyperlink r:id="rId157" w:history="1">
        <w:r>
          <w:rPr>
            <w:rFonts w:ascii="Arial" w:hAnsi="Arial" w:cs="Arial"/>
            <w:color w:val="0000FF"/>
            <w:sz w:val="20"/>
            <w:szCs w:val="20"/>
          </w:rPr>
          <w:t>Постановление</w:t>
        </w:r>
      </w:hyperlink>
      <w:r>
        <w:rPr>
          <w:rFonts w:ascii="Arial" w:hAnsi="Arial" w:cs="Arial"/>
          <w:sz w:val="20"/>
          <w:szCs w:val="20"/>
        </w:rPr>
        <w:t xml:space="preserve"> Правительства РФ от 07.07.2017 N 810.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16. Уполномоченный орган субъекта Российской Федерации не позднее 5 рабочих дней со дня, когда ему стало известно о наступлении обстоятельств, предусмотренных </w:t>
      </w:r>
      <w:hyperlink w:anchor="Par222" w:history="1">
        <w:r>
          <w:rPr>
            <w:rFonts w:ascii="Arial" w:hAnsi="Arial" w:cs="Arial"/>
            <w:color w:val="0000FF"/>
            <w:sz w:val="20"/>
            <w:szCs w:val="20"/>
          </w:rPr>
          <w:t>пунктом 15</w:t>
        </w:r>
      </w:hyperlink>
      <w:r>
        <w:rPr>
          <w:rFonts w:ascii="Arial" w:hAnsi="Arial" w:cs="Arial"/>
          <w:sz w:val="20"/>
          <w:szCs w:val="20"/>
        </w:rPr>
        <w:t xml:space="preserve"> настоящего документа, публикует в официальном печатном издании, в котором публикуются правовые акты органов государственной власти соответствующего субъекта Российской Федерации (далее - официальное печатное издание), и размещает в электронных средствах распространения информации (в том числе с использованием сети "Интернет") следующие сведения: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58"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18.04.2020 N 554)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для случаев, указанных в </w:t>
      </w:r>
      <w:hyperlink w:anchor="Par223" w:history="1">
        <w:r>
          <w:rPr>
            <w:rFonts w:ascii="Arial" w:hAnsi="Arial" w:cs="Arial"/>
            <w:color w:val="0000FF"/>
            <w:sz w:val="20"/>
            <w:szCs w:val="20"/>
          </w:rPr>
          <w:t>абзацах втором</w:t>
        </w:r>
      </w:hyperlink>
      <w:r>
        <w:rPr>
          <w:rFonts w:ascii="Arial" w:hAnsi="Arial" w:cs="Arial"/>
          <w:sz w:val="20"/>
          <w:szCs w:val="20"/>
        </w:rPr>
        <w:t xml:space="preserve"> и </w:t>
      </w:r>
      <w:hyperlink w:anchor="Par224" w:history="1">
        <w:r>
          <w:rPr>
            <w:rFonts w:ascii="Arial" w:hAnsi="Arial" w:cs="Arial"/>
            <w:color w:val="0000FF"/>
            <w:sz w:val="20"/>
            <w:szCs w:val="20"/>
          </w:rPr>
          <w:t>третьем пункта 15</w:t>
        </w:r>
      </w:hyperlink>
      <w:r>
        <w:rPr>
          <w:rFonts w:ascii="Arial" w:hAnsi="Arial" w:cs="Arial"/>
          <w:sz w:val="20"/>
          <w:szCs w:val="20"/>
        </w:rPr>
        <w:t xml:space="preserve"> настоящего документа, - информация об организации, утратившей статус гарантирующего поставщика, или о гарантирующем поставщике, вся или часть зоны деятельности которого включается в зону деятельности другого гарантирующего поставщика, а для случаев, указанных в </w:t>
      </w:r>
      <w:hyperlink w:anchor="Par225" w:history="1">
        <w:r>
          <w:rPr>
            <w:rFonts w:ascii="Arial" w:hAnsi="Arial" w:cs="Arial"/>
            <w:color w:val="0000FF"/>
            <w:sz w:val="20"/>
            <w:szCs w:val="20"/>
          </w:rPr>
          <w:t>абзацах четвертом</w:t>
        </w:r>
      </w:hyperlink>
      <w:r>
        <w:rPr>
          <w:rFonts w:ascii="Arial" w:hAnsi="Arial" w:cs="Arial"/>
          <w:sz w:val="20"/>
          <w:szCs w:val="20"/>
        </w:rPr>
        <w:t xml:space="preserve"> - </w:t>
      </w:r>
      <w:hyperlink w:anchor="Par233" w:history="1">
        <w:r>
          <w:rPr>
            <w:rFonts w:ascii="Arial" w:hAnsi="Arial" w:cs="Arial"/>
            <w:color w:val="0000FF"/>
            <w:sz w:val="20"/>
            <w:szCs w:val="20"/>
          </w:rPr>
          <w:t>девятом пункта 15</w:t>
        </w:r>
      </w:hyperlink>
      <w:r>
        <w:rPr>
          <w:rFonts w:ascii="Arial" w:hAnsi="Arial" w:cs="Arial"/>
          <w:sz w:val="20"/>
          <w:szCs w:val="20"/>
        </w:rPr>
        <w:t xml:space="preserve"> настоящего документа, - обстоятельства, указывающие на невозможность для энергосбытовой (энергоснабжающей) организации осуществлять дальнейшее снабжение электрической энергией потребителей;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наименование и платежные реквизиты гарантирующего поставщика, обязанного принять на обслуживание потребителей, энергопринимающие устройства которых расположены в границах зоны его деятельности;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6" w:name="Par238"/>
      <w:bookmarkEnd w:id="16"/>
      <w:r>
        <w:rPr>
          <w:rFonts w:ascii="Arial" w:hAnsi="Arial" w:cs="Arial"/>
          <w:sz w:val="20"/>
          <w:szCs w:val="20"/>
        </w:rPr>
        <w:t xml:space="preserve">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w:t>
      </w:r>
      <w:hyperlink w:anchor="Par225" w:history="1">
        <w:r>
          <w:rPr>
            <w:rFonts w:ascii="Arial" w:hAnsi="Arial" w:cs="Arial"/>
            <w:color w:val="0000FF"/>
            <w:sz w:val="20"/>
            <w:szCs w:val="20"/>
          </w:rPr>
          <w:t>абзацами четвертым</w:t>
        </w:r>
      </w:hyperlink>
      <w:r>
        <w:rPr>
          <w:rFonts w:ascii="Arial" w:hAnsi="Arial" w:cs="Arial"/>
          <w:sz w:val="20"/>
          <w:szCs w:val="20"/>
        </w:rPr>
        <w:t xml:space="preserve"> - </w:t>
      </w:r>
      <w:hyperlink w:anchor="Par231" w:history="1">
        <w:r>
          <w:rPr>
            <w:rFonts w:ascii="Arial" w:hAnsi="Arial" w:cs="Arial"/>
            <w:color w:val="0000FF"/>
            <w:sz w:val="20"/>
            <w:szCs w:val="20"/>
          </w:rPr>
          <w:t>восьмым пункта 15</w:t>
        </w:r>
      </w:hyperlink>
      <w:r>
        <w:rPr>
          <w:rFonts w:ascii="Arial" w:hAnsi="Arial" w:cs="Arial"/>
          <w:sz w:val="20"/>
          <w:szCs w:val="20"/>
        </w:rPr>
        <w:t xml:space="preserve"> настоящего документа. Указанные дата и время для случаев, указанных в </w:t>
      </w:r>
      <w:hyperlink w:anchor="Par223" w:history="1">
        <w:r>
          <w:rPr>
            <w:rFonts w:ascii="Arial" w:hAnsi="Arial" w:cs="Arial"/>
            <w:color w:val="0000FF"/>
            <w:sz w:val="20"/>
            <w:szCs w:val="20"/>
          </w:rPr>
          <w:t>абзацах втором</w:t>
        </w:r>
      </w:hyperlink>
      <w:r>
        <w:rPr>
          <w:rFonts w:ascii="Arial" w:hAnsi="Arial" w:cs="Arial"/>
          <w:sz w:val="20"/>
          <w:szCs w:val="20"/>
        </w:rPr>
        <w:t xml:space="preserve"> и </w:t>
      </w:r>
      <w:hyperlink w:anchor="Par224" w:history="1">
        <w:r>
          <w:rPr>
            <w:rFonts w:ascii="Arial" w:hAnsi="Arial" w:cs="Arial"/>
            <w:color w:val="0000FF"/>
            <w:sz w:val="20"/>
            <w:szCs w:val="20"/>
          </w:rPr>
          <w:t>третьем пункта 15</w:t>
        </w:r>
      </w:hyperlink>
      <w:r>
        <w:rPr>
          <w:rFonts w:ascii="Arial" w:hAnsi="Arial" w:cs="Arial"/>
          <w:sz w:val="20"/>
          <w:szCs w:val="20"/>
        </w:rPr>
        <w:t xml:space="preserve"> настоящего документа, определяются датой присвоения статуса гарантирующего поставщика новой организации или датой включения в зону деятельности гарантирующего поставщика всей или части зоны деятельности другого гарантирующего поставщика;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59"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07.07.2017 N 810)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7" w:name="Par240"/>
      <w:bookmarkEnd w:id="17"/>
      <w:r>
        <w:rPr>
          <w:rFonts w:ascii="Arial" w:hAnsi="Arial" w:cs="Arial"/>
          <w:sz w:val="20"/>
          <w:szCs w:val="20"/>
        </w:rPr>
        <w:t xml:space="preserve">требование о снятии показаний приборов учета лицом, ответственным за снятие показаний приборов учета в соответствии с </w:t>
      </w:r>
      <w:hyperlink w:anchor="Par1220" w:history="1">
        <w:r>
          <w:rPr>
            <w:rFonts w:ascii="Arial" w:hAnsi="Arial" w:cs="Arial"/>
            <w:color w:val="0000FF"/>
            <w:sz w:val="20"/>
            <w:szCs w:val="20"/>
          </w:rPr>
          <w:t>разделом X</w:t>
        </w:r>
      </w:hyperlink>
      <w:r>
        <w:rPr>
          <w:rFonts w:ascii="Arial" w:hAnsi="Arial" w:cs="Arial"/>
          <w:sz w:val="20"/>
          <w:szCs w:val="20"/>
        </w:rPr>
        <w:t xml:space="preserve"> настоящего документа, на дату и время, установленные в соответствии с </w:t>
      </w:r>
      <w:hyperlink w:anchor="Par238" w:history="1">
        <w:r>
          <w:rPr>
            <w:rFonts w:ascii="Arial" w:hAnsi="Arial" w:cs="Arial"/>
            <w:color w:val="0000FF"/>
            <w:sz w:val="20"/>
            <w:szCs w:val="20"/>
          </w:rPr>
          <w:t>абзацем четвертым</w:t>
        </w:r>
      </w:hyperlink>
      <w:r>
        <w:rPr>
          <w:rFonts w:ascii="Arial" w:hAnsi="Arial" w:cs="Arial"/>
          <w:sz w:val="20"/>
          <w:szCs w:val="20"/>
        </w:rPr>
        <w:t xml:space="preserve"> настоящего пункта, и об их передаче не позднее 2 месяцев с даты снятия в адрес гарантирующего поставщика, предложение о заключении договора которого принято потребителем в соответствии с </w:t>
      </w:r>
      <w:hyperlink w:anchor="Par263" w:history="1">
        <w:r>
          <w:rPr>
            <w:rFonts w:ascii="Arial" w:hAnsi="Arial" w:cs="Arial"/>
            <w:color w:val="0000FF"/>
            <w:sz w:val="20"/>
            <w:szCs w:val="20"/>
          </w:rPr>
          <w:t>пунктом 21</w:t>
        </w:r>
      </w:hyperlink>
      <w:r>
        <w:rPr>
          <w:rFonts w:ascii="Arial" w:hAnsi="Arial" w:cs="Arial"/>
          <w:sz w:val="20"/>
          <w:szCs w:val="20"/>
        </w:rPr>
        <w:t xml:space="preserve"> настоящего документа, либо в иных случаях - в адрес сетевой организации, с которой потребителем заключен договор оказания услуг по передаче электрической энергии, а при незаключении такого договора - в адрес сетевой организации, к объектам электросетевого хозяйства которой присоединены энергопринимающие устройства потребителя. При этом если лицом, ответственным за снятие показаний приборов учета, является сетевая организация, такие показания передаются в адрес соответствующего гарантирующего поставщика не позднее 10 рабочих дней с даты их снятия;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60"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18.04.2020 N 554)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срок, не позднее которого потребителями должны быть заключены договоры, обеспечивающие продажу электрической энергии (мощности), с условием о продаже им электрической энергии (мощности) начиная с даты и времени, указанной в соответствии с </w:t>
      </w:r>
      <w:hyperlink w:anchor="Par238" w:history="1">
        <w:r>
          <w:rPr>
            <w:rFonts w:ascii="Arial" w:hAnsi="Arial" w:cs="Arial"/>
            <w:color w:val="0000FF"/>
            <w:sz w:val="20"/>
            <w:szCs w:val="20"/>
          </w:rPr>
          <w:t>абзацем четвертым</w:t>
        </w:r>
      </w:hyperlink>
      <w:r>
        <w:rPr>
          <w:rFonts w:ascii="Arial" w:hAnsi="Arial" w:cs="Arial"/>
          <w:sz w:val="20"/>
          <w:szCs w:val="20"/>
        </w:rPr>
        <w:t xml:space="preserve"> настоящего пункта, а также указанные в </w:t>
      </w:r>
      <w:hyperlink w:anchor="Par287" w:history="1">
        <w:r>
          <w:rPr>
            <w:rFonts w:ascii="Arial" w:hAnsi="Arial" w:cs="Arial"/>
            <w:color w:val="0000FF"/>
            <w:sz w:val="20"/>
            <w:szCs w:val="20"/>
          </w:rPr>
          <w:t>пункте 26</w:t>
        </w:r>
      </w:hyperlink>
      <w:r>
        <w:rPr>
          <w:rFonts w:ascii="Arial" w:hAnsi="Arial" w:cs="Arial"/>
          <w:sz w:val="20"/>
          <w:szCs w:val="20"/>
        </w:rPr>
        <w:t xml:space="preserve"> настоящего документа последствия, наступающие в случае, если такие договоры не будут заключены.</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8" w:name="Par243"/>
      <w:bookmarkEnd w:id="18"/>
      <w:r>
        <w:rPr>
          <w:rFonts w:ascii="Arial" w:hAnsi="Arial" w:cs="Arial"/>
          <w:sz w:val="20"/>
          <w:szCs w:val="20"/>
        </w:rPr>
        <w:t xml:space="preserve">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w:t>
      </w:r>
      <w:hyperlink w:anchor="Par222" w:history="1">
        <w:r>
          <w:rPr>
            <w:rFonts w:ascii="Arial" w:hAnsi="Arial" w:cs="Arial"/>
            <w:color w:val="0000FF"/>
            <w:sz w:val="20"/>
            <w:szCs w:val="20"/>
          </w:rPr>
          <w:t>пунктом 15</w:t>
        </w:r>
      </w:hyperlink>
      <w:r>
        <w:rPr>
          <w:rFonts w:ascii="Arial" w:hAnsi="Arial" w:cs="Arial"/>
          <w:sz w:val="20"/>
          <w:szCs w:val="20"/>
        </w:rPr>
        <w:t xml:space="preserve">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абзац утратил силу. - </w:t>
      </w:r>
      <w:hyperlink r:id="rId161" w:history="1">
        <w:r>
          <w:rPr>
            <w:rFonts w:ascii="Arial" w:hAnsi="Arial" w:cs="Arial"/>
            <w:color w:val="0000FF"/>
            <w:sz w:val="20"/>
            <w:szCs w:val="20"/>
          </w:rPr>
          <w:t>Постановление</w:t>
        </w:r>
      </w:hyperlink>
      <w:r>
        <w:rPr>
          <w:rFonts w:ascii="Arial" w:hAnsi="Arial" w:cs="Arial"/>
          <w:sz w:val="20"/>
          <w:szCs w:val="20"/>
        </w:rPr>
        <w:t xml:space="preserve"> Правительства РФ от 08.12.2018 N 1496;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энергосбытовую (энергоснабжающую) организацию или исполнителя коммунальных услуг, для которых наступили предусмотренные </w:t>
      </w:r>
      <w:hyperlink w:anchor="Par222" w:history="1">
        <w:r>
          <w:rPr>
            <w:rFonts w:ascii="Arial" w:hAnsi="Arial" w:cs="Arial"/>
            <w:color w:val="0000FF"/>
            <w:sz w:val="20"/>
            <w:szCs w:val="20"/>
          </w:rPr>
          <w:t>пунктом 15</w:t>
        </w:r>
      </w:hyperlink>
      <w:r>
        <w:rPr>
          <w:rFonts w:ascii="Arial" w:hAnsi="Arial" w:cs="Arial"/>
          <w:sz w:val="20"/>
          <w:szCs w:val="20"/>
        </w:rPr>
        <w:t xml:space="preserve"> настоящего документа обстоятельства, либо организацию, утратившую статус гарантирующего поставщика, или гарантирующего поставщика, вся зона деятельности или часть зоны деятельности которого включается в зону деятельности другого гарантирующего поставщика;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62"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гарантирующего поставщика, который обязан принять на обслуживание потребителей;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все сетевые организации, к электрическим сетям которых непосредственно или опосредованно присоединены энергопринимающие устройства потребителей, обслуживаемых энергосбытовой (энергоснабжающей) организацией или гарантирующим поставщиком, для которого наступили указанные в </w:t>
      </w:r>
      <w:hyperlink w:anchor="Par222" w:history="1">
        <w:r>
          <w:rPr>
            <w:rFonts w:ascii="Arial" w:hAnsi="Arial" w:cs="Arial"/>
            <w:color w:val="0000FF"/>
            <w:sz w:val="20"/>
            <w:szCs w:val="20"/>
          </w:rPr>
          <w:t>пункте 15</w:t>
        </w:r>
      </w:hyperlink>
      <w:r>
        <w:rPr>
          <w:rFonts w:ascii="Arial" w:hAnsi="Arial" w:cs="Arial"/>
          <w:sz w:val="20"/>
          <w:szCs w:val="20"/>
        </w:rPr>
        <w:t xml:space="preserve"> настоящего документа обстоятельства;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совет рынка и организацию коммерческой инфраструктуры оптового рынка, если энергосбытовая (энергоснабжающая) организация или гарантирующий поставщик, для которого наступили указанные в </w:t>
      </w:r>
      <w:hyperlink w:anchor="Par222" w:history="1">
        <w:r>
          <w:rPr>
            <w:rFonts w:ascii="Arial" w:hAnsi="Arial" w:cs="Arial"/>
            <w:color w:val="0000FF"/>
            <w:sz w:val="20"/>
            <w:szCs w:val="20"/>
          </w:rPr>
          <w:t>пункте 15</w:t>
        </w:r>
      </w:hyperlink>
      <w:r>
        <w:rPr>
          <w:rFonts w:ascii="Arial" w:hAnsi="Arial" w:cs="Arial"/>
          <w:sz w:val="20"/>
          <w:szCs w:val="20"/>
        </w:rPr>
        <w:t xml:space="preserve"> настоящего документа обстоятельства, является субъектом оптового рынка.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Уполномоченный орган субъекта Российской Федерации в течение 5 рабочих дней со дня, когда ему стало известно о наступлении случая, предусмотренного </w:t>
      </w:r>
      <w:hyperlink w:anchor="Par223" w:history="1">
        <w:r>
          <w:rPr>
            <w:rFonts w:ascii="Arial" w:hAnsi="Arial" w:cs="Arial"/>
            <w:color w:val="0000FF"/>
            <w:sz w:val="20"/>
            <w:szCs w:val="20"/>
          </w:rPr>
          <w:t>абзацем вторым пункта 15</w:t>
        </w:r>
      </w:hyperlink>
      <w:r>
        <w:rPr>
          <w:rFonts w:ascii="Arial" w:hAnsi="Arial" w:cs="Arial"/>
          <w:sz w:val="20"/>
          <w:szCs w:val="20"/>
        </w:rPr>
        <w:t xml:space="preserve"> настоящего документа, извещает также о предстоящем принятии гарантирующим поставщиком на обслуживание потребителей с указанием даты, установленной для такого принятия, уполномоченный федеральный орган.</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163"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08.12.2018 N 1496)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18. Утратил силу. - </w:t>
      </w:r>
      <w:hyperlink r:id="rId164" w:history="1">
        <w:r>
          <w:rPr>
            <w:rFonts w:ascii="Arial" w:hAnsi="Arial" w:cs="Arial"/>
            <w:color w:val="0000FF"/>
            <w:sz w:val="20"/>
            <w:szCs w:val="20"/>
          </w:rPr>
          <w:t>Постановление</w:t>
        </w:r>
      </w:hyperlink>
      <w:r>
        <w:rPr>
          <w:rFonts w:ascii="Arial" w:hAnsi="Arial" w:cs="Arial"/>
          <w:sz w:val="20"/>
          <w:szCs w:val="20"/>
        </w:rPr>
        <w:t xml:space="preserve"> Правительства РФ от 30.12.2012 N 1482.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19. Энергосбытовая (энергоснабжающая) организация или исполнитель коммунальных услуг, для которых наступили предусмотренные </w:t>
      </w:r>
      <w:hyperlink w:anchor="Par222" w:history="1">
        <w:r>
          <w:rPr>
            <w:rFonts w:ascii="Arial" w:hAnsi="Arial" w:cs="Arial"/>
            <w:color w:val="0000FF"/>
            <w:sz w:val="20"/>
            <w:szCs w:val="20"/>
          </w:rPr>
          <w:t>пунктом 15</w:t>
        </w:r>
      </w:hyperlink>
      <w:r>
        <w:rPr>
          <w:rFonts w:ascii="Arial" w:hAnsi="Arial" w:cs="Arial"/>
          <w:sz w:val="20"/>
          <w:szCs w:val="20"/>
        </w:rPr>
        <w:t xml:space="preserve"> настоящего документа обстоятельства, либо организация, утратившая статус гарантирующего поставщика, или гарантирующий поставщик, часть зоны деятельности которого включается в зону деятельности другого гарантирующего поставщика, не позднее 5 рабочих дней со дня получения извещения, предусмотренного </w:t>
      </w:r>
      <w:hyperlink w:anchor="Par243" w:history="1">
        <w:r>
          <w:rPr>
            <w:rFonts w:ascii="Arial" w:hAnsi="Arial" w:cs="Arial"/>
            <w:color w:val="0000FF"/>
            <w:sz w:val="20"/>
            <w:szCs w:val="20"/>
          </w:rPr>
          <w:t>пунктом 17</w:t>
        </w:r>
      </w:hyperlink>
      <w:r>
        <w:rPr>
          <w:rFonts w:ascii="Arial" w:hAnsi="Arial" w:cs="Arial"/>
          <w:sz w:val="20"/>
          <w:szCs w:val="20"/>
        </w:rPr>
        <w:t xml:space="preserve"> настоящего документа, направляет в уполномоченный орган субъекта Российской Федерации актуальную информацию по формам, предусмотренным </w:t>
      </w:r>
      <w:hyperlink w:anchor="Par2649" w:history="1">
        <w:r>
          <w:rPr>
            <w:rFonts w:ascii="Arial" w:hAnsi="Arial" w:cs="Arial"/>
            <w:color w:val="0000FF"/>
            <w:sz w:val="20"/>
            <w:szCs w:val="20"/>
          </w:rPr>
          <w:t>приложением N 2</w:t>
        </w:r>
      </w:hyperlink>
      <w:r>
        <w:rPr>
          <w:rFonts w:ascii="Arial" w:hAnsi="Arial" w:cs="Arial"/>
          <w:sz w:val="20"/>
          <w:szCs w:val="20"/>
        </w:rPr>
        <w:t xml:space="preserve"> к настоящему документу, об обслуживаемых потребителях, а также информацию об имеющейся задолженности потребителей за поставленную электрическую энергию (мощность) и о пунктах приема платежей от граждан.</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Постановлений Правительства РФ от 30.12.2012 </w:t>
      </w:r>
      <w:hyperlink r:id="rId165" w:history="1">
        <w:r>
          <w:rPr>
            <w:rFonts w:ascii="Arial" w:hAnsi="Arial" w:cs="Arial"/>
            <w:color w:val="0000FF"/>
            <w:sz w:val="20"/>
            <w:szCs w:val="20"/>
          </w:rPr>
          <w:t>N 1482</w:t>
        </w:r>
      </w:hyperlink>
      <w:r>
        <w:rPr>
          <w:rFonts w:ascii="Arial" w:hAnsi="Arial" w:cs="Arial"/>
          <w:sz w:val="20"/>
          <w:szCs w:val="20"/>
        </w:rPr>
        <w:t xml:space="preserve">, от 24.05.2017 </w:t>
      </w:r>
      <w:hyperlink r:id="rId166" w:history="1">
        <w:r>
          <w:rPr>
            <w:rFonts w:ascii="Arial" w:hAnsi="Arial" w:cs="Arial"/>
            <w:color w:val="0000FF"/>
            <w:sz w:val="20"/>
            <w:szCs w:val="20"/>
          </w:rPr>
          <w:t>N 624</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Уполномоченный орган субъекта Российской Федерации в течение 5 рабочих дней со дня получения указанной в настоящем пункте информации направляет полученную информацию гарантирующему поставщику, которому надлежит принять на обслуживание потребителей.</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67"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30.12.2012 N 1482)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20. Гарантирующий поставщик, которому надлежит принять на обслуживание потребителей, не позднее 11 рабочих дней со дня получения извещения, предусмотренного </w:t>
      </w:r>
      <w:hyperlink w:anchor="Par243" w:history="1">
        <w:r>
          <w:rPr>
            <w:rFonts w:ascii="Arial" w:hAnsi="Arial" w:cs="Arial"/>
            <w:color w:val="0000FF"/>
            <w:sz w:val="20"/>
            <w:szCs w:val="20"/>
          </w:rPr>
          <w:t>пунктом 17</w:t>
        </w:r>
      </w:hyperlink>
      <w:r>
        <w:rPr>
          <w:rFonts w:ascii="Arial" w:hAnsi="Arial" w:cs="Arial"/>
          <w:sz w:val="20"/>
          <w:szCs w:val="20"/>
        </w:rPr>
        <w:t xml:space="preserve"> настоящего документа, направляет в пункты приема платежей от граждан, включая кредитные организации и отделения почтовой связи, для размещения: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копии извещения, полученного от уполномоченного органа субъекта Российской Федерации;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68"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30.12.2012 N 1482)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бланки платежных документов с указанием реквизитов для оплаты с установленной даты принятия гарантирующим поставщиком на обслуживание потребителей.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Потребители коммунальной услуги по электроснабжению, которые в соответствии с </w:t>
      </w:r>
      <w:hyperlink r:id="rId169" w:history="1">
        <w:r>
          <w:rPr>
            <w:rFonts w:ascii="Arial" w:hAnsi="Arial" w:cs="Arial"/>
            <w:color w:val="0000FF"/>
            <w:sz w:val="20"/>
            <w:szCs w:val="20"/>
          </w:rPr>
          <w:t>Правилами</w:t>
        </w:r>
      </w:hyperlink>
      <w:r>
        <w:rPr>
          <w:rFonts w:ascii="Arial" w:hAnsi="Arial" w:cs="Arial"/>
          <w:sz w:val="20"/>
          <w:szCs w:val="20"/>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не находятся на обслуживании у исполнителей коммунальных услуг в лице управляющих организаций, товариществ собственников жилья либо жилищных кооперативов или иных специализированных потребительских кооперативов, принимаются на обслуживание гарантирующим поставщиком с даты, установленной для такого принятия уполномоченным органом субъекта Российской Федерации и вносят плату за потребленную с этой даты электрическую энергию в адрес гарантирующего поставщика. Соответствующие договоры с указанными потребителями коммунальной услуги электроснабжения, в том числе в отсутствие их письменной формы, заключаются в соответствии с жилищным законодательством Российской Федерации.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70"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30.12.2012 N 1482)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9" w:name="Par263"/>
      <w:bookmarkEnd w:id="19"/>
      <w:r>
        <w:rPr>
          <w:rFonts w:ascii="Arial" w:hAnsi="Arial" w:cs="Arial"/>
          <w:sz w:val="20"/>
          <w:szCs w:val="20"/>
        </w:rPr>
        <w:t xml:space="preserve">21. Потребителям за исключением граждан гарантирующий поставщик не позднее 20 рабочих дней со дня получения извещения, предусмотренного </w:t>
      </w:r>
      <w:hyperlink w:anchor="Par243" w:history="1">
        <w:r>
          <w:rPr>
            <w:rFonts w:ascii="Arial" w:hAnsi="Arial" w:cs="Arial"/>
            <w:color w:val="0000FF"/>
            <w:sz w:val="20"/>
            <w:szCs w:val="20"/>
          </w:rPr>
          <w:t>пунктом 17</w:t>
        </w:r>
      </w:hyperlink>
      <w:r>
        <w:rPr>
          <w:rFonts w:ascii="Arial" w:hAnsi="Arial" w:cs="Arial"/>
          <w:sz w:val="20"/>
          <w:szCs w:val="20"/>
        </w:rPr>
        <w:t xml:space="preserve"> настоящего документа, направляет предложения о заключении с ним не позднее 2 месяцев с даты, установленной в соответствии с </w:t>
      </w:r>
      <w:hyperlink w:anchor="Par238" w:history="1">
        <w:r>
          <w:rPr>
            <w:rFonts w:ascii="Arial" w:hAnsi="Arial" w:cs="Arial"/>
            <w:color w:val="0000FF"/>
            <w:sz w:val="20"/>
            <w:szCs w:val="20"/>
          </w:rPr>
          <w:t>абзацем четвертым пункта 16</w:t>
        </w:r>
      </w:hyperlink>
      <w:r>
        <w:rPr>
          <w:rFonts w:ascii="Arial" w:hAnsi="Arial" w:cs="Arial"/>
          <w:sz w:val="20"/>
          <w:szCs w:val="20"/>
        </w:rPr>
        <w:t xml:space="preserve">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соответствии с </w:t>
      </w:r>
      <w:hyperlink w:anchor="Par238" w:history="1">
        <w:r>
          <w:rPr>
            <w:rFonts w:ascii="Arial" w:hAnsi="Arial" w:cs="Arial"/>
            <w:color w:val="0000FF"/>
            <w:sz w:val="20"/>
            <w:szCs w:val="20"/>
          </w:rPr>
          <w:t>абзацем четвертым пункта 16</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таком предложении гарантирующего поставщика также должна быть указана обязанность потребителя в случае принятия предложения гарантирующего поставщика о заключении с ним договора </w:t>
      </w:r>
      <w:r>
        <w:rPr>
          <w:rFonts w:ascii="Arial" w:hAnsi="Arial" w:cs="Arial"/>
          <w:sz w:val="20"/>
          <w:szCs w:val="20"/>
        </w:rPr>
        <w:lastRenderedPageBreak/>
        <w:t>оплатить гарантирующему поставщику электрическую энергию (мощность) и соответствующие услуги в соответствии с условиями, указанными в настоящем пункте, а в случае принятия предложения гарантирующего поставщика о заключении с ним договора купли-продажи (поставки) электрической энергии (мощности) - также обязанность потребителя заключить договор оказания услуг по передаче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принятия предложения о заключении с гарантирующим поставщиком договора энергоснабжения потребитель обязан оплатить гарантирующему поставщику электрическую энергию (мощность) и соответствующие услуги, потребленные с даты и времени, установленных в соответствии с </w:t>
      </w:r>
      <w:hyperlink w:anchor="Par238" w:history="1">
        <w:r>
          <w:rPr>
            <w:rFonts w:ascii="Arial" w:hAnsi="Arial" w:cs="Arial"/>
            <w:color w:val="0000FF"/>
            <w:sz w:val="20"/>
            <w:szCs w:val="20"/>
          </w:rPr>
          <w:t>абзацем четвертым пункта 16</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принятия предложения гарантирующего поставщика о заключении договора купли-продажи (поставки) электрической энергии (мощности) потребитель обязан не позднее 2 месяцев с даты, установленной в соответствии с </w:t>
      </w:r>
      <w:hyperlink w:anchor="Par238" w:history="1">
        <w:r>
          <w:rPr>
            <w:rFonts w:ascii="Arial" w:hAnsi="Arial" w:cs="Arial"/>
            <w:color w:val="0000FF"/>
            <w:sz w:val="20"/>
            <w:szCs w:val="20"/>
          </w:rPr>
          <w:t>абзацем четвертым пункта 16</w:t>
        </w:r>
      </w:hyperlink>
      <w:r>
        <w:rPr>
          <w:rFonts w:ascii="Arial" w:hAnsi="Arial" w:cs="Arial"/>
          <w:sz w:val="20"/>
          <w:szCs w:val="20"/>
        </w:rPr>
        <w:t xml:space="preserve"> настоящего документа, заключить договор оказания услуг по передаче электрической энергии с условием о начале исполнения такого договора с даты и времени, установленных в соответствии с </w:t>
      </w:r>
      <w:hyperlink w:anchor="Par238" w:history="1">
        <w:r>
          <w:rPr>
            <w:rFonts w:ascii="Arial" w:hAnsi="Arial" w:cs="Arial"/>
            <w:color w:val="0000FF"/>
            <w:sz w:val="20"/>
            <w:szCs w:val="20"/>
          </w:rPr>
          <w:t>абзацем четвертым пункта 16</w:t>
        </w:r>
      </w:hyperlink>
      <w:r>
        <w:rPr>
          <w:rFonts w:ascii="Arial" w:hAnsi="Arial" w:cs="Arial"/>
          <w:sz w:val="20"/>
          <w:szCs w:val="20"/>
        </w:rPr>
        <w:t xml:space="preserve"> настоящего документа, а также оплачивать гарантирующему поставщику электрическую энергию и соответствующие услуги, за исключением услуг по передаче электрической энергии, потребленные с даты и времени, установленных в соответствии с </w:t>
      </w:r>
      <w:hyperlink w:anchor="Par238" w:history="1">
        <w:r>
          <w:rPr>
            <w:rFonts w:ascii="Arial" w:hAnsi="Arial" w:cs="Arial"/>
            <w:color w:val="0000FF"/>
            <w:sz w:val="20"/>
            <w:szCs w:val="20"/>
          </w:rPr>
          <w:t>абзацем четвертым пункта 16</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22. В случае невыполнения субъектом розничных рынков указанного в </w:t>
      </w:r>
      <w:hyperlink w:anchor="Par240" w:history="1">
        <w:r>
          <w:rPr>
            <w:rFonts w:ascii="Arial" w:hAnsi="Arial" w:cs="Arial"/>
            <w:color w:val="0000FF"/>
            <w:sz w:val="20"/>
            <w:szCs w:val="20"/>
          </w:rPr>
          <w:t>абзаце пятом пункта 16</w:t>
        </w:r>
      </w:hyperlink>
      <w:r>
        <w:rPr>
          <w:rFonts w:ascii="Arial" w:hAnsi="Arial" w:cs="Arial"/>
          <w:sz w:val="20"/>
          <w:szCs w:val="20"/>
        </w:rPr>
        <w:t xml:space="preserve"> настоящего документа требования о снятии и передаче показаний приборов учета на дату и время, установленные в соответствии с </w:t>
      </w:r>
      <w:hyperlink w:anchor="Par238" w:history="1">
        <w:r>
          <w:rPr>
            <w:rFonts w:ascii="Arial" w:hAnsi="Arial" w:cs="Arial"/>
            <w:color w:val="0000FF"/>
            <w:sz w:val="20"/>
            <w:szCs w:val="20"/>
          </w:rPr>
          <w:t>абзацем четвертым пункта 16</w:t>
        </w:r>
      </w:hyperlink>
      <w:r>
        <w:rPr>
          <w:rFonts w:ascii="Arial" w:hAnsi="Arial" w:cs="Arial"/>
          <w:sz w:val="20"/>
          <w:szCs w:val="20"/>
        </w:rPr>
        <w:t xml:space="preserve"> настоящего документа, объем потребления электрической энергии на указанные дату и время определяется исходя из продолжительности периода времени, истекшего со дня последнего снятия показаний приборов учета до указанных даты и времени, и усредненного объема потребления электрической энергии в период между последним и предпоследним снятием показаний приборов учета. Если указанное требование не выполнено по причине отсутствия (неисправности) приборов учета, то при определении объема потребления электрической энергии на указанные дату и время используются расчетные способы, установленные в </w:t>
      </w:r>
      <w:hyperlink w:anchor="Par1220" w:history="1">
        <w:r>
          <w:rPr>
            <w:rFonts w:ascii="Arial" w:hAnsi="Arial" w:cs="Arial"/>
            <w:color w:val="0000FF"/>
            <w:sz w:val="20"/>
            <w:szCs w:val="20"/>
          </w:rPr>
          <w:t>разделе X</w:t>
        </w:r>
      </w:hyperlink>
      <w:r>
        <w:rPr>
          <w:rFonts w:ascii="Arial" w:hAnsi="Arial" w:cs="Arial"/>
          <w:sz w:val="20"/>
          <w:szCs w:val="20"/>
        </w:rPr>
        <w:t xml:space="preserve"> настоящего документа для случаев отсутствия (неисправности) приборов учета.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71"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18.04.2020 N 554)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23. Если потребителем, который в соответствии с </w:t>
      </w:r>
      <w:hyperlink w:anchor="Par263" w:history="1">
        <w:r>
          <w:rPr>
            <w:rFonts w:ascii="Arial" w:hAnsi="Arial" w:cs="Arial"/>
            <w:color w:val="0000FF"/>
            <w:sz w:val="20"/>
            <w:szCs w:val="20"/>
          </w:rPr>
          <w:t>пунктом 21</w:t>
        </w:r>
      </w:hyperlink>
      <w:r>
        <w:rPr>
          <w:rFonts w:ascii="Arial" w:hAnsi="Arial" w:cs="Arial"/>
          <w:sz w:val="20"/>
          <w:szCs w:val="20"/>
        </w:rPr>
        <w:t xml:space="preserve"> настоящего документа принял предложение гарантирующего поставщика о заключении договора энергоснабжения (купли-продажи (поставки) электрической энергии (мощности)), до даты, установленной в соответствии с </w:t>
      </w:r>
      <w:hyperlink w:anchor="Par238" w:history="1">
        <w:r>
          <w:rPr>
            <w:rFonts w:ascii="Arial" w:hAnsi="Arial" w:cs="Arial"/>
            <w:color w:val="0000FF"/>
            <w:sz w:val="20"/>
            <w:szCs w:val="20"/>
          </w:rPr>
          <w:t>абзацем четвертым пункта 16</w:t>
        </w:r>
      </w:hyperlink>
      <w:r>
        <w:rPr>
          <w:rFonts w:ascii="Arial" w:hAnsi="Arial" w:cs="Arial"/>
          <w:sz w:val="20"/>
          <w:szCs w:val="20"/>
        </w:rPr>
        <w:t xml:space="preserve"> настоящего документа, был внесен авансовый платеж за электрическую энергию в адрес энергосбытовой (энергоснабжающей) организации (организации, утратившей статус гарантирующего поставщика, или гарантирующего поставщика, часть зоны деятельности которого включена в зону деятельности иного гарантирующего поставщика) и такой авансовый платеж не был обеспечен поставкой электрической энергии, то получившая такой авансовый платеж организация обязана по указанию такого потребителя перечислить ему соответствующую сумму платежа или по письменному заявлению такого потребителя перечислить ее гарантирующему поставщику, с которым заключен договор энергоснабжения (купли-продажи (поставки)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24. Уполномоченный орган субъекта Российской Федерации, энергосбытовые (энергоснабжающие) организации, в отношении которых наступили указанные в </w:t>
      </w:r>
      <w:hyperlink w:anchor="Par222" w:history="1">
        <w:r>
          <w:rPr>
            <w:rFonts w:ascii="Arial" w:hAnsi="Arial" w:cs="Arial"/>
            <w:color w:val="0000FF"/>
            <w:sz w:val="20"/>
            <w:szCs w:val="20"/>
          </w:rPr>
          <w:t>пункте 15</w:t>
        </w:r>
      </w:hyperlink>
      <w:r>
        <w:rPr>
          <w:rFonts w:ascii="Arial" w:hAnsi="Arial" w:cs="Arial"/>
          <w:sz w:val="20"/>
          <w:szCs w:val="20"/>
        </w:rPr>
        <w:t xml:space="preserve"> настоящего документа обстоятельства, сетевые организации, к сетям которых присоединены энергопринимающие устройства потребителей, а также организация коммерческой инфраструктуры оптового рынка предоставляют гарантирующему поставщику указанную в настоящем пункте информацию о потребителях в целях ее использования гарантирующим поставщиком в процессе принятия им на обслуживание потребителей.</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72"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30.12.2012 N 1482)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Если принятие потребителей на обслуживание осуществляется в связи со сменой гарантирующего поставщика или включением в зону деятельности гарантирующего поставщика территории, соответствующей зоне деятельности иного гарантирующего поставщика или ее части, информацию о потребителях, которых необходимо принять на обслуживание, предоставляет уполномоченный орган субъекта Российской Федерации одновременно с направлением извещения в соответствии с </w:t>
      </w:r>
      <w:hyperlink w:anchor="Par243" w:history="1">
        <w:r>
          <w:rPr>
            <w:rFonts w:ascii="Arial" w:hAnsi="Arial" w:cs="Arial"/>
            <w:color w:val="0000FF"/>
            <w:sz w:val="20"/>
            <w:szCs w:val="20"/>
          </w:rPr>
          <w:t>пунктом 17</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Организация коммерческой инфраструктуры оптового рынка передает гарантирующему поставщику по формам, предусмотренным </w:t>
      </w:r>
      <w:hyperlink w:anchor="Par2649" w:history="1">
        <w:r>
          <w:rPr>
            <w:rFonts w:ascii="Arial" w:hAnsi="Arial" w:cs="Arial"/>
            <w:color w:val="0000FF"/>
            <w:sz w:val="20"/>
            <w:szCs w:val="20"/>
          </w:rPr>
          <w:t>приложением N 2</w:t>
        </w:r>
      </w:hyperlink>
      <w:r>
        <w:rPr>
          <w:rFonts w:ascii="Arial" w:hAnsi="Arial" w:cs="Arial"/>
          <w:sz w:val="20"/>
          <w:szCs w:val="20"/>
        </w:rPr>
        <w:t xml:space="preserve"> к настоящему документу, имеющиеся у нее сведения о </w:t>
      </w:r>
      <w:r>
        <w:rPr>
          <w:rFonts w:ascii="Arial" w:hAnsi="Arial" w:cs="Arial"/>
          <w:sz w:val="20"/>
          <w:szCs w:val="20"/>
        </w:rPr>
        <w:lastRenderedPageBreak/>
        <w:t xml:space="preserve">потребителях, обслуживаемых энергосбытовой (энергоснабжающей) организацией, которая является субъектом оптового рынка и для которой наступили предусмотренные </w:t>
      </w:r>
      <w:hyperlink w:anchor="Par222" w:history="1">
        <w:r>
          <w:rPr>
            <w:rFonts w:ascii="Arial" w:hAnsi="Arial" w:cs="Arial"/>
            <w:color w:val="0000FF"/>
            <w:sz w:val="20"/>
            <w:szCs w:val="20"/>
          </w:rPr>
          <w:t>пунктом 15</w:t>
        </w:r>
      </w:hyperlink>
      <w:r>
        <w:rPr>
          <w:rFonts w:ascii="Arial" w:hAnsi="Arial" w:cs="Arial"/>
          <w:sz w:val="20"/>
          <w:szCs w:val="20"/>
        </w:rPr>
        <w:t xml:space="preserve"> настоящего документа обстоятельства.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Указанная энергосбытовая (энергоснабжающая) организация передает гарантирующему поставщику по формам, предусмотренным </w:t>
      </w:r>
      <w:hyperlink w:anchor="Par2649" w:history="1">
        <w:r>
          <w:rPr>
            <w:rFonts w:ascii="Arial" w:hAnsi="Arial" w:cs="Arial"/>
            <w:color w:val="0000FF"/>
            <w:sz w:val="20"/>
            <w:szCs w:val="20"/>
          </w:rPr>
          <w:t>приложением N 2</w:t>
        </w:r>
      </w:hyperlink>
      <w:r>
        <w:rPr>
          <w:rFonts w:ascii="Arial" w:hAnsi="Arial" w:cs="Arial"/>
          <w:sz w:val="20"/>
          <w:szCs w:val="20"/>
        </w:rPr>
        <w:t xml:space="preserve"> к настоящему документу, сведения о потребителях, обслуживаемых энергосбытовой (энергоснабжающей) организацией, а также об используемых ею для расчетов с потребителями пунктах приема платежей.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Сетевые организации передают гарантирующему поставщику по формам, предусмотренным </w:t>
      </w:r>
      <w:hyperlink w:anchor="Par2649" w:history="1">
        <w:r>
          <w:rPr>
            <w:rFonts w:ascii="Arial" w:hAnsi="Arial" w:cs="Arial"/>
            <w:color w:val="0000FF"/>
            <w:sz w:val="20"/>
            <w:szCs w:val="20"/>
          </w:rPr>
          <w:t>приложением N 2</w:t>
        </w:r>
      </w:hyperlink>
      <w:r>
        <w:rPr>
          <w:rFonts w:ascii="Arial" w:hAnsi="Arial" w:cs="Arial"/>
          <w:sz w:val="20"/>
          <w:szCs w:val="20"/>
        </w:rPr>
        <w:t xml:space="preserve"> к настоящему документу, сведения о потребителях, обслуживаемых энергосбытовой (энергоснабжающей) организацией, для которой наступили предусмотренные </w:t>
      </w:r>
      <w:hyperlink w:anchor="Par222" w:history="1">
        <w:r>
          <w:rPr>
            <w:rFonts w:ascii="Arial" w:hAnsi="Arial" w:cs="Arial"/>
            <w:color w:val="0000FF"/>
            <w:sz w:val="20"/>
            <w:szCs w:val="20"/>
          </w:rPr>
          <w:t>пунктом 15</w:t>
        </w:r>
      </w:hyperlink>
      <w:r>
        <w:rPr>
          <w:rFonts w:ascii="Arial" w:hAnsi="Arial" w:cs="Arial"/>
          <w:sz w:val="20"/>
          <w:szCs w:val="20"/>
        </w:rPr>
        <w:t xml:space="preserve"> настоящего документа обстоятельства (организацией, утратившей статус гарантирующего поставщика, гарантирующим поставщиком, часть зоны деятельности которого включена в зону деятельности иного гарантирующего поставщика), в отношении энергопринимающих устройств которых на дату наступления указанных обстоятельств имеются действующие договоры оказания услуг по передаче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Указанные сведения передаются в течение 5 рабочих дней со дня получения запроса от гарантирующего поставщика.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Соглашением между гарантирующим поставщиком и сетевой организацией может быть предусмотрен порядок уведомления сетевой организацией потребителей (за исключением граждан), энергопринимающие устройства которых присоединены к ее электрическим сетям, о наступлении обстоятельств, являющихся основанием для принятия указанных потребителей на обслуживание гарантирующим поставщиком, и обеспечения получения ими проектов соответствующих договоров.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0" w:name="Par278"/>
      <w:bookmarkEnd w:id="20"/>
      <w:r>
        <w:rPr>
          <w:rFonts w:ascii="Arial" w:hAnsi="Arial" w:cs="Arial"/>
          <w:sz w:val="20"/>
          <w:szCs w:val="20"/>
        </w:rPr>
        <w:t xml:space="preserve">25. Сетевая организация при получении указанного в </w:t>
      </w:r>
      <w:hyperlink w:anchor="Par243" w:history="1">
        <w:r>
          <w:rPr>
            <w:rFonts w:ascii="Arial" w:hAnsi="Arial" w:cs="Arial"/>
            <w:color w:val="0000FF"/>
            <w:sz w:val="20"/>
            <w:szCs w:val="20"/>
          </w:rPr>
          <w:t>пункте 17</w:t>
        </w:r>
      </w:hyperlink>
      <w:r>
        <w:rPr>
          <w:rFonts w:ascii="Arial" w:hAnsi="Arial" w:cs="Arial"/>
          <w:sz w:val="20"/>
          <w:szCs w:val="20"/>
        </w:rPr>
        <w:t xml:space="preserve"> настоящего документа извещения уполномоченного органа субъекта Российской Федерации о предстоящем принятии гарантирующим поставщиком на обслуживание потребителей, в котором указана дата, установленная для такого принятия, обязана совершить указанные в настоящем разделе действия, а также действия, направленные на обеспечение бесперебойного снабжения электрической энергией потребителей в ходе осуществления процедуры принятия их на обслуживание гарантирующим поставщиком либо их перехода к энергосбытовой (энергоснабжающей) организации или производителю электрической энергии (мощности) на розничном рынке. При этом сетевая организация в случае обращения к ней потребителя или действующего в его интересах гарантирующего поставщика (энергосбытовой, энергоснабжающей организации) для заключения договора оказания услуг по передаче электрической энергии в течение 2 месяцев с даты, установленной для принятия гарантирующим поставщиком на обслуживание потребителей, не вправе при отсутствии оснований для отказа от заключения такого договора, установленных </w:t>
      </w:r>
      <w:hyperlink r:id="rId173" w:history="1">
        <w:r>
          <w:rPr>
            <w:rFonts w:ascii="Arial" w:hAnsi="Arial" w:cs="Arial"/>
            <w:color w:val="0000FF"/>
            <w:sz w:val="20"/>
            <w:szCs w:val="20"/>
          </w:rPr>
          <w:t>Правилами</w:t>
        </w:r>
      </w:hyperlink>
      <w:r>
        <w:rPr>
          <w:rFonts w:ascii="Arial" w:hAnsi="Arial" w:cs="Arial"/>
          <w:sz w:val="20"/>
          <w:szCs w:val="20"/>
        </w:rPr>
        <w:t xml:space="preserve"> недискриминационного доступа к услугам по передаче электрической энергии и оказания этих услуг, отказать в его заключении на условии начала оказания услуг по передаче электрической энергии по нему начиная с даты и времени, указанных в соответствии с </w:t>
      </w:r>
      <w:hyperlink w:anchor="Par238" w:history="1">
        <w:r>
          <w:rPr>
            <w:rFonts w:ascii="Arial" w:hAnsi="Arial" w:cs="Arial"/>
            <w:color w:val="0000FF"/>
            <w:sz w:val="20"/>
            <w:szCs w:val="20"/>
          </w:rPr>
          <w:t>абзацем четвертым пункта 16</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Постановлений Правительства РФ от 30.12.2012 </w:t>
      </w:r>
      <w:hyperlink r:id="rId174" w:history="1">
        <w:r>
          <w:rPr>
            <w:rFonts w:ascii="Arial" w:hAnsi="Arial" w:cs="Arial"/>
            <w:color w:val="0000FF"/>
            <w:sz w:val="20"/>
            <w:szCs w:val="20"/>
          </w:rPr>
          <w:t>N 1482</w:t>
        </w:r>
      </w:hyperlink>
      <w:r>
        <w:rPr>
          <w:rFonts w:ascii="Arial" w:hAnsi="Arial" w:cs="Arial"/>
          <w:sz w:val="20"/>
          <w:szCs w:val="20"/>
        </w:rPr>
        <w:t xml:space="preserve">, от 17.09.2018 </w:t>
      </w:r>
      <w:hyperlink r:id="rId175" w:history="1">
        <w:r>
          <w:rPr>
            <w:rFonts w:ascii="Arial" w:hAnsi="Arial" w:cs="Arial"/>
            <w:color w:val="0000FF"/>
            <w:sz w:val="20"/>
            <w:szCs w:val="20"/>
          </w:rPr>
          <w:t>N 1096</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По истечении 2 месяцев с даты, установленной для принятия гарантирующим поставщиком на обслуживание потребителей, сетевая организация обязана удостовериться в том, что все потребители, за исключением граждан, ранее обслуживавшихся энергосбытовой (энергоснабжающей) организацией, для которой наступили предусмотренные </w:t>
      </w:r>
      <w:hyperlink w:anchor="Par222" w:history="1">
        <w:r>
          <w:rPr>
            <w:rFonts w:ascii="Arial" w:hAnsi="Arial" w:cs="Arial"/>
            <w:color w:val="0000FF"/>
            <w:sz w:val="20"/>
            <w:szCs w:val="20"/>
          </w:rPr>
          <w:t>пунктом 15</w:t>
        </w:r>
      </w:hyperlink>
      <w:r>
        <w:rPr>
          <w:rFonts w:ascii="Arial" w:hAnsi="Arial" w:cs="Arial"/>
          <w:sz w:val="20"/>
          <w:szCs w:val="20"/>
        </w:rPr>
        <w:t xml:space="preserve"> настоящего документа обстоятельства, или организацией, утратившей статус гарантирующего поставщика, заключили в письменной форме договоры, обеспечивающие продажу им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Указанный факт устанавливается сетевой организацией на основании сведений, предоставляемых ей в ходе заключения договоров оказания услуг по передаче электрической энергии в интересах потребителя: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гарантирующим поставщиком, принявшим на обслуживание такого потребителя;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энергосбытовой (энергоснабжающей) организацией или производителем электрической энергии (мощности) на розничном рынке, с которой (которым) такой потребитель заключил договор, обеспечивающий продажу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организацией, утратившей статус гарантирующего поставщика, и обслуживающей потребителя, отказавшегося от перехода к новому гарантирующему поставщику;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непосредственно самим потребителем, самостоятельно заключающим (заключившим) договор оказания услуг по передаче электрической энергии и предъявившим сетевой организации копию заключенного им договора купли-продажи (поставки)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Гарантирующий поставщик, осуществляющий принятие на обслуживание потребителей, обязан оплачивать сетевой организации услуги по передаче электрической энергии, оказанные ею потребителям, которые с установленной даты принятия их на обслуживание перешли на обслуживание к такому гарантирующему поставщику по договору энергоснабжения, за период начиная с установленной даты принятия их на обслуживание.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1" w:name="Par287"/>
      <w:bookmarkEnd w:id="21"/>
      <w:r>
        <w:rPr>
          <w:rFonts w:ascii="Arial" w:hAnsi="Arial" w:cs="Arial"/>
          <w:sz w:val="20"/>
          <w:szCs w:val="20"/>
        </w:rPr>
        <w:t xml:space="preserve">26. В ходе проведения процедур, указанных в </w:t>
      </w:r>
      <w:hyperlink w:anchor="Par278" w:history="1">
        <w:r>
          <w:rPr>
            <w:rFonts w:ascii="Arial" w:hAnsi="Arial" w:cs="Arial"/>
            <w:color w:val="0000FF"/>
            <w:sz w:val="20"/>
            <w:szCs w:val="20"/>
          </w:rPr>
          <w:t>пункте 25</w:t>
        </w:r>
      </w:hyperlink>
      <w:r>
        <w:rPr>
          <w:rFonts w:ascii="Arial" w:hAnsi="Arial" w:cs="Arial"/>
          <w:sz w:val="20"/>
          <w:szCs w:val="20"/>
        </w:rPr>
        <w:t xml:space="preserve"> настоящего документа, сетевая организация: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выявляет лиц, которые не заключили договоры, обеспечивающие продажу им электрической энергии (мощности), и при этом фактически потребляют электрическую энергию;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составляет в установленном настоящим документом порядке акт о неучтенном потреблении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рассчитывает в соответствии с настоящим документом объемы бездоговорного потребления электрической энергии за период, истекший с даты, установленной для принятия гарантирующим поставщиком на обслуживание потребителей;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принимает меры по сокращению уровня или прекращению потребления электрической энергии в отсутствие договора и по обеспечению оплаты объемов электрической энергии, потребляемой без заключенного договора лицом, потребляющим электрическую энергию, путем введения ограничения режима потребления электрической энергии.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76"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Абзац утратил силу. - </w:t>
      </w:r>
      <w:hyperlink r:id="rId177" w:history="1">
        <w:r>
          <w:rPr>
            <w:rFonts w:ascii="Arial" w:hAnsi="Arial" w:cs="Arial"/>
            <w:color w:val="0000FF"/>
            <w:sz w:val="20"/>
            <w:szCs w:val="20"/>
          </w:rPr>
          <w:t>Постановление</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bookmarkStart w:id="22" w:name="Par295"/>
      <w:bookmarkEnd w:id="22"/>
      <w:r>
        <w:rPr>
          <w:rFonts w:ascii="Arial" w:eastAsiaTheme="minorHAnsi" w:hAnsi="Arial" w:cs="Arial"/>
          <w:color w:val="auto"/>
          <w:sz w:val="20"/>
          <w:szCs w:val="20"/>
        </w:rPr>
        <w:t>III. Правила заключения договоров между потребителями</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(покупателями) и гарантирующими поставщиками и правила</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их исполнения, включающие существенные условия таких</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договоров, а также условия договоров, заключаемых</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потребителями (покупателями) с энергосбытовыми</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(энергоснабжающими) организациями, производителями</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электрической энергии (мощности) на розничных рынках</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27. Электрическая энергия (мощность) реализуется на розничных рынках на основании следующих видов договоров, обеспечивающих продажу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договор энергоснабжения;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договор купли-продажи (поставки)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3" w:name="Par306"/>
      <w:bookmarkEnd w:id="23"/>
      <w:r>
        <w:rPr>
          <w:rFonts w:ascii="Arial" w:hAnsi="Arial" w:cs="Arial"/>
          <w:sz w:val="20"/>
          <w:szCs w:val="20"/>
        </w:rPr>
        <w:t>28. По договору энергоснабжения гарантирующий поставщик обязуется осуществлять продажу электрической энергии (мощности), а также самостоятельно или через привлеченных третьих лиц оказывать услуги по передаче электрической энергии и услуги, оказание которых является неотъемлемой частью процесса поставки электрической энергии потребителям, а потребитель (покупатель) обязуется оплачивать приобретаемую электрическую энергию (мощность) и оказанные услуги.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Исполнение обязательств гарантирующего поставщика по договору энергоснабжения в отношении энергопринимающего устройства осуществляется: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78"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10.02.2014 N 95)</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начиная с указанных в договоре даты и времени, но не ранее даты и времени начала оказания услуг по передаче электрической энергии в отношении такого энергопринимающего устройства и не ранее даты и времени передачи победителю конкурса на право заключения договора аренды либо концессионного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такого энергопринимающего устройства по заключенному в соответствии с законодательством Российской Федерации договору аренды либо </w:t>
      </w:r>
      <w:r>
        <w:rPr>
          <w:rFonts w:ascii="Arial" w:hAnsi="Arial" w:cs="Arial"/>
          <w:sz w:val="20"/>
          <w:szCs w:val="20"/>
        </w:rPr>
        <w:lastRenderedPageBreak/>
        <w:t>концессионному соглашению в случае, если договор либо концессионное соглашение заключается с указанным победителем в отношении такого энергопринимающего устройства;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Постановлений Правительства РФ от 10.02.2014 </w:t>
      </w:r>
      <w:hyperlink r:id="rId179" w:history="1">
        <w:r>
          <w:rPr>
            <w:rFonts w:ascii="Arial" w:hAnsi="Arial" w:cs="Arial"/>
            <w:color w:val="0000FF"/>
            <w:sz w:val="20"/>
            <w:szCs w:val="20"/>
          </w:rPr>
          <w:t>N 95</w:t>
        </w:r>
      </w:hyperlink>
      <w:r>
        <w:rPr>
          <w:rFonts w:ascii="Arial" w:hAnsi="Arial" w:cs="Arial"/>
          <w:sz w:val="20"/>
          <w:szCs w:val="20"/>
        </w:rPr>
        <w:t xml:space="preserve">, от 07.07.2017 </w:t>
      </w:r>
      <w:hyperlink r:id="rId180" w:history="1">
        <w:r>
          <w:rPr>
            <w:rFonts w:ascii="Arial" w:hAnsi="Arial" w:cs="Arial"/>
            <w:color w:val="0000FF"/>
            <w:sz w:val="20"/>
            <w:szCs w:val="20"/>
          </w:rPr>
          <w:t>N 810</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заключения договора энергоснабжения до завершения процедуры технологического присоединения энергопринимающих устройств, в отношении которых заключается такой договор энергоснабжения, - с даты фактической подачи сетевой организацией напряжения и мощности на объекты потребителя, соответствующей дате фактического присоединения, указанной в акте об осуществлении технологического присоединения, а в отношении заявителей, предусмотренных </w:t>
      </w:r>
      <w:hyperlink r:id="rId181" w:history="1">
        <w:r>
          <w:rPr>
            <w:rFonts w:ascii="Arial" w:hAnsi="Arial" w:cs="Arial"/>
            <w:color w:val="0000FF"/>
            <w:sz w:val="20"/>
            <w:szCs w:val="20"/>
          </w:rPr>
          <w:t>пунктами 12(1)</w:t>
        </w:r>
      </w:hyperlink>
      <w:r>
        <w:rPr>
          <w:rFonts w:ascii="Arial" w:hAnsi="Arial" w:cs="Arial"/>
          <w:sz w:val="20"/>
          <w:szCs w:val="20"/>
        </w:rPr>
        <w:t xml:space="preserve"> и </w:t>
      </w:r>
      <w:hyperlink r:id="rId182" w:history="1">
        <w:r>
          <w:rPr>
            <w:rFonts w:ascii="Arial" w:hAnsi="Arial" w:cs="Arial"/>
            <w:color w:val="0000FF"/>
            <w:sz w:val="20"/>
            <w:szCs w:val="20"/>
          </w:rPr>
          <w:t>14</w:t>
        </w:r>
      </w:hyperlink>
      <w:r>
        <w:rPr>
          <w:rFonts w:ascii="Arial" w:hAnsi="Arial" w:cs="Arial"/>
          <w:sz w:val="20"/>
          <w:szCs w:val="20"/>
        </w:rP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Российской Федерации от 27 декабря 2004 г. N 861, - со дня составления и размещения в соответствии с </w:t>
      </w:r>
      <w:hyperlink r:id="rId183" w:history="1">
        <w:r>
          <w:rPr>
            <w:rFonts w:ascii="Arial" w:hAnsi="Arial" w:cs="Arial"/>
            <w:color w:val="0000FF"/>
            <w:sz w:val="20"/>
            <w:szCs w:val="20"/>
          </w:rPr>
          <w:t>пунктом 110</w:t>
        </w:r>
      </w:hyperlink>
      <w:r>
        <w:rPr>
          <w:rFonts w:ascii="Arial" w:hAnsi="Arial" w:cs="Arial"/>
          <w:sz w:val="20"/>
          <w:szCs w:val="20"/>
        </w:rPr>
        <w:t xml:space="preserve"> указанных Правил на официальном сайте сетевой организации или ином официальном сайте в информационно-телекоммуникационной сети "Интернет", определяемом Правительством Российской Федерации, в личном кабинете потребителя (далее - личный кабинет потребителя) акта об осуществлении технологического присоединения, подписанного со стороны сетевой организации;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Постановлений Правительства РФ от 10.02.2014 </w:t>
      </w:r>
      <w:hyperlink r:id="rId184" w:history="1">
        <w:r>
          <w:rPr>
            <w:rFonts w:ascii="Arial" w:hAnsi="Arial" w:cs="Arial"/>
            <w:color w:val="0000FF"/>
            <w:sz w:val="20"/>
            <w:szCs w:val="20"/>
          </w:rPr>
          <w:t>N 95</w:t>
        </w:r>
      </w:hyperlink>
      <w:r>
        <w:rPr>
          <w:rFonts w:ascii="Arial" w:hAnsi="Arial" w:cs="Arial"/>
          <w:sz w:val="20"/>
          <w:szCs w:val="20"/>
        </w:rPr>
        <w:t xml:space="preserve">, от 11.05.2017 </w:t>
      </w:r>
      <w:hyperlink r:id="rId185" w:history="1">
        <w:r>
          <w:rPr>
            <w:rFonts w:ascii="Arial" w:hAnsi="Arial" w:cs="Arial"/>
            <w:color w:val="0000FF"/>
            <w:sz w:val="20"/>
            <w:szCs w:val="20"/>
          </w:rPr>
          <w:t>N 557</w:t>
        </w:r>
      </w:hyperlink>
      <w:r>
        <w:rPr>
          <w:rFonts w:ascii="Arial" w:hAnsi="Arial" w:cs="Arial"/>
          <w:sz w:val="20"/>
          <w:szCs w:val="20"/>
        </w:rPr>
        <w:t xml:space="preserve">, от 10.03.2020 </w:t>
      </w:r>
      <w:hyperlink r:id="rId186" w:history="1">
        <w:r>
          <w:rPr>
            <w:rFonts w:ascii="Arial" w:hAnsi="Arial" w:cs="Arial"/>
            <w:color w:val="0000FF"/>
            <w:sz w:val="20"/>
            <w:szCs w:val="20"/>
          </w:rPr>
          <w:t>N 262</w:t>
        </w:r>
      </w:hyperlink>
      <w:r>
        <w:rPr>
          <w:rFonts w:ascii="Arial" w:hAnsi="Arial" w:cs="Arial"/>
          <w:sz w:val="20"/>
          <w:szCs w:val="20"/>
        </w:rPr>
        <w:t xml:space="preserve">, от 01.04.2020 </w:t>
      </w:r>
      <w:hyperlink r:id="rId187" w:history="1">
        <w:r>
          <w:rPr>
            <w:rFonts w:ascii="Arial" w:hAnsi="Arial" w:cs="Arial"/>
            <w:color w:val="0000FF"/>
            <w:sz w:val="20"/>
            <w:szCs w:val="20"/>
          </w:rPr>
          <w:t>N 403</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смены собственника энергопринимающего устройства - с даты возникновения у нового собственника права собственности на энергопринимающее устройство при условии соблюдения новым собственником срока, предусмотренного </w:t>
      </w:r>
      <w:hyperlink w:anchor="Par387" w:history="1">
        <w:r>
          <w:rPr>
            <w:rFonts w:ascii="Arial" w:hAnsi="Arial" w:cs="Arial"/>
            <w:color w:val="0000FF"/>
            <w:sz w:val="20"/>
            <w:szCs w:val="20"/>
          </w:rPr>
          <w:t>пунктом 34(1)</w:t>
        </w:r>
      </w:hyperlink>
      <w:r>
        <w:rPr>
          <w:rFonts w:ascii="Arial" w:hAnsi="Arial" w:cs="Arial"/>
          <w:sz w:val="20"/>
          <w:szCs w:val="20"/>
        </w:rPr>
        <w:t xml:space="preserve"> настоящего документа, для направления гарантирующему поставщику заявления о заключении договора энергоснабжения в отношении соответствующего энергопринимающего устройства;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188"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01.04.2020 N 403)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указанном в </w:t>
      </w:r>
      <w:hyperlink w:anchor="Par263" w:history="1">
        <w:r>
          <w:rPr>
            <w:rFonts w:ascii="Arial" w:hAnsi="Arial" w:cs="Arial"/>
            <w:color w:val="0000FF"/>
            <w:sz w:val="20"/>
            <w:szCs w:val="20"/>
          </w:rPr>
          <w:t>пункте 21</w:t>
        </w:r>
      </w:hyperlink>
      <w:r>
        <w:rPr>
          <w:rFonts w:ascii="Arial" w:hAnsi="Arial" w:cs="Arial"/>
          <w:sz w:val="20"/>
          <w:szCs w:val="20"/>
        </w:rPr>
        <w:t xml:space="preserve"> настоящего документа, - с даты и времени, установленных в соответствии с </w:t>
      </w:r>
      <w:hyperlink w:anchor="Par238" w:history="1">
        <w:r>
          <w:rPr>
            <w:rFonts w:ascii="Arial" w:hAnsi="Arial" w:cs="Arial"/>
            <w:color w:val="0000FF"/>
            <w:sz w:val="20"/>
            <w:szCs w:val="20"/>
          </w:rPr>
          <w:t>абзацем четвертым пункта 16</w:t>
        </w:r>
      </w:hyperlink>
      <w:r>
        <w:rPr>
          <w:rFonts w:ascii="Arial" w:hAnsi="Arial" w:cs="Arial"/>
          <w:sz w:val="20"/>
          <w:szCs w:val="20"/>
        </w:rPr>
        <w:t xml:space="preserve"> настоящего документа для принятия гарантирующим поставщиком на обслуживание потребителей.</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89"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10.02.2014 N 95)</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отношении одного энергопринимающего устройства может быть заключен только один договор энергоснабжения.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Договор энергоснабжения, заключаемый с гарантирующим поставщиком, является публичным.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Для надлежащего исполнения договора энергоснабжения гарантирующий поставщик обязан в порядке, установленном </w:t>
      </w:r>
      <w:hyperlink r:id="rId190" w:history="1">
        <w:r>
          <w:rPr>
            <w:rFonts w:ascii="Arial" w:hAnsi="Arial" w:cs="Arial"/>
            <w:color w:val="0000FF"/>
            <w:sz w:val="20"/>
            <w:szCs w:val="20"/>
          </w:rPr>
          <w:t>Правилами</w:t>
        </w:r>
      </w:hyperlink>
      <w:r>
        <w:rPr>
          <w:rFonts w:ascii="Arial" w:hAnsi="Arial" w:cs="Arial"/>
          <w:sz w:val="20"/>
          <w:szCs w:val="20"/>
        </w:rPr>
        <w:t xml:space="preserve"> недискриминационного доступа к услугам по передаче электрической энергии и оказания этих услуг, урегулировать отношения, связанные с передачей электрической энергии, путем заключения договора оказания услуг по передаче электрической энергии с сетевой организацией.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договоре энергоснабжения, заключаемом гарантирующим поставщиком с потребителем, который соответствует установленным Правительством Российской Федерации критериям отнесения субъектов электроэнергетики и потребителей к кругу лиц, подлежащих обязательному обслуживанию субъектом оперативно-диспетчерского управления в электроэнергетике, либо который владеет энергопринимающими устройствами, технологический режим работы и эксплуатационное состояние которых влияют на электроэнергетический режим работы энергетической системы, по требованию потребителя должна быть предусмотрена обязанность гарантирующего поставщика урегулировать в интересах и от имени потребителя в порядке, установленном </w:t>
      </w:r>
      <w:hyperlink r:id="rId191" w:history="1">
        <w:r>
          <w:rPr>
            <w:rFonts w:ascii="Arial" w:hAnsi="Arial" w:cs="Arial"/>
            <w:color w:val="0000FF"/>
            <w:sz w:val="20"/>
            <w:szCs w:val="20"/>
          </w:rPr>
          <w:t>Правилами</w:t>
        </w:r>
      </w:hyperlink>
      <w:r>
        <w:rPr>
          <w:rFonts w:ascii="Arial" w:hAnsi="Arial" w:cs="Arial"/>
          <w:sz w:val="20"/>
          <w:szCs w:val="20"/>
        </w:rPr>
        <w:t xml:space="preserve"> недискриминационного доступа к услугам по оперативно-диспетчерскому управлению в электроэнергетике и оказания этих услуг, отношения по оперативно-диспетчерскому управлению в электроэнергетике с системным оператором или субъектом оперативно-диспетчерского управления в технологически изолированной территориальной электроэнергетической системе. В этом случае права и обязанности в отношениях по оперативно-диспетчерскому управлению возникают непосредственно у такого потребителя. Представление гарантирующим поставщиком интересов потребителя в отношениях по оперативно-диспетчерскому управлению осуществляется в соответствии с гражданским законодательством Российской Федерации.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92"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17.09.2018 N 1096)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Производитель электрической энергии (мощности) на розничном рынке и потребитель, который также осуществляет деятельность по передаче электрической энергии, обязан самостоятельно урегулировать отношения по оперативно-диспетчерскому управлению в электроэнергетике с системным оператором (субъектом оперативно-диспетчерского управления в технологически изолированной территориальной электроэнергетической системе) в порядке, установленном </w:t>
      </w:r>
      <w:hyperlink r:id="rId193" w:history="1">
        <w:r>
          <w:rPr>
            <w:rFonts w:ascii="Arial" w:hAnsi="Arial" w:cs="Arial"/>
            <w:color w:val="0000FF"/>
            <w:sz w:val="20"/>
            <w:szCs w:val="20"/>
          </w:rPr>
          <w:t>Правилами</w:t>
        </w:r>
      </w:hyperlink>
      <w:r>
        <w:rPr>
          <w:rFonts w:ascii="Arial" w:hAnsi="Arial" w:cs="Arial"/>
          <w:sz w:val="20"/>
          <w:szCs w:val="20"/>
        </w:rPr>
        <w:t xml:space="preserve"> недискриминационного доступа к услугам по оперативно-диспетчерскому управлению в электроэнергетике и оказания этих услуг.</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94"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23.01.2015 N 47)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4" w:name="Par324"/>
      <w:bookmarkEnd w:id="24"/>
      <w:r>
        <w:rPr>
          <w:rFonts w:ascii="Arial" w:hAnsi="Arial" w:cs="Arial"/>
          <w:sz w:val="20"/>
          <w:szCs w:val="20"/>
        </w:rPr>
        <w:t>29. По договору купли-продажи (поставки) электрической энергии (мощности) гарантирующий поставщик обязуется осуществлять продажу электрической энергии (мощности), а потребитель (покупатель) обязуется принимать и оплачивать приобретаемую электрическую энергию (мощность).</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Исполнение обязательств гарантирующего поставщика по договору купли-продажи (поставки) электрической энергии (мощности) осуществляется: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95"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10.02.2014 N 95)</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начиная с указанных в договоре даты и времени, но не ранее заключения потребителем (покупателем) договора оказания услуг по передаче электрической энергии в отношении энергопринимающего устройства потребителя и не ранее даты и времени передачи победителю конкурса на право заключения договора аренды либо концессионного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такого энергопринимающего устройства по заключенному в соответствии с законодательством Российской Федерации договору аренды либо концессионному соглашению в случае, если договор либо концессионное соглашение заключается с указанным победителем в отношении такого энергопринимающего устройства;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96"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07.07.2017 N 810)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заключения договора купли-продажи (поставки) электрической энергии (мощности) до завершения процедуры технологического присоединения энергопринимающих устройств, в отношении которых заключается такой договор купли-продажи (поставки) электрической энергии (мощности), - с даты фактической подачи сетевой организацией напряжения и мощности на объекты потребителя, соответствующей дате фактического присоединения, указанной в акте об осуществлении технологического присоединения, а в отношении заявителей, предусмотренных </w:t>
      </w:r>
      <w:hyperlink r:id="rId197" w:history="1">
        <w:r>
          <w:rPr>
            <w:rFonts w:ascii="Arial" w:hAnsi="Arial" w:cs="Arial"/>
            <w:color w:val="0000FF"/>
            <w:sz w:val="20"/>
            <w:szCs w:val="20"/>
          </w:rPr>
          <w:t>пунктами 12(1)</w:t>
        </w:r>
      </w:hyperlink>
      <w:r>
        <w:rPr>
          <w:rFonts w:ascii="Arial" w:hAnsi="Arial" w:cs="Arial"/>
          <w:sz w:val="20"/>
          <w:szCs w:val="20"/>
        </w:rPr>
        <w:t xml:space="preserve"> и </w:t>
      </w:r>
      <w:hyperlink r:id="rId198" w:history="1">
        <w:r>
          <w:rPr>
            <w:rFonts w:ascii="Arial" w:hAnsi="Arial" w:cs="Arial"/>
            <w:color w:val="0000FF"/>
            <w:sz w:val="20"/>
            <w:szCs w:val="20"/>
          </w:rPr>
          <w:t>14</w:t>
        </w:r>
      </w:hyperlink>
      <w:r>
        <w:rPr>
          <w:rFonts w:ascii="Arial" w:hAnsi="Arial" w:cs="Arial"/>
          <w:sz w:val="20"/>
          <w:szCs w:val="20"/>
        </w:rP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Российской Федерации от 27 декабря 2004 г. N 861, - со дня составления и размещения в соответствии с </w:t>
      </w:r>
      <w:hyperlink r:id="rId199" w:history="1">
        <w:r>
          <w:rPr>
            <w:rFonts w:ascii="Arial" w:hAnsi="Arial" w:cs="Arial"/>
            <w:color w:val="0000FF"/>
            <w:sz w:val="20"/>
            <w:szCs w:val="20"/>
          </w:rPr>
          <w:t>пунктом 110</w:t>
        </w:r>
      </w:hyperlink>
      <w:r>
        <w:rPr>
          <w:rFonts w:ascii="Arial" w:hAnsi="Arial" w:cs="Arial"/>
          <w:sz w:val="20"/>
          <w:szCs w:val="20"/>
        </w:rPr>
        <w:t xml:space="preserve"> указанных Правил в личном кабинете потребителя акта об осуществлении технологического присоединения, подписанного со стороны сетевой организации;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Постановлений Правительства РФ от 10.02.2014 </w:t>
      </w:r>
      <w:hyperlink r:id="rId200" w:history="1">
        <w:r>
          <w:rPr>
            <w:rFonts w:ascii="Arial" w:hAnsi="Arial" w:cs="Arial"/>
            <w:color w:val="0000FF"/>
            <w:sz w:val="20"/>
            <w:szCs w:val="20"/>
          </w:rPr>
          <w:t>N 95</w:t>
        </w:r>
      </w:hyperlink>
      <w:r>
        <w:rPr>
          <w:rFonts w:ascii="Arial" w:hAnsi="Arial" w:cs="Arial"/>
          <w:sz w:val="20"/>
          <w:szCs w:val="20"/>
        </w:rPr>
        <w:t xml:space="preserve">, от 11.05.2017 </w:t>
      </w:r>
      <w:hyperlink r:id="rId201" w:history="1">
        <w:r>
          <w:rPr>
            <w:rFonts w:ascii="Arial" w:hAnsi="Arial" w:cs="Arial"/>
            <w:color w:val="0000FF"/>
            <w:sz w:val="20"/>
            <w:szCs w:val="20"/>
          </w:rPr>
          <w:t>N 557</w:t>
        </w:r>
      </w:hyperlink>
      <w:r>
        <w:rPr>
          <w:rFonts w:ascii="Arial" w:hAnsi="Arial" w:cs="Arial"/>
          <w:sz w:val="20"/>
          <w:szCs w:val="20"/>
        </w:rPr>
        <w:t xml:space="preserve">, от 10.03.2020 </w:t>
      </w:r>
      <w:hyperlink r:id="rId202" w:history="1">
        <w:r>
          <w:rPr>
            <w:rFonts w:ascii="Arial" w:hAnsi="Arial" w:cs="Arial"/>
            <w:color w:val="0000FF"/>
            <w:sz w:val="20"/>
            <w:szCs w:val="20"/>
          </w:rPr>
          <w:t>N 262</w:t>
        </w:r>
      </w:hyperlink>
      <w:r>
        <w:rPr>
          <w:rFonts w:ascii="Arial" w:hAnsi="Arial" w:cs="Arial"/>
          <w:sz w:val="20"/>
          <w:szCs w:val="20"/>
        </w:rPr>
        <w:t xml:space="preserve">, от 01.04.2020 </w:t>
      </w:r>
      <w:hyperlink r:id="rId203" w:history="1">
        <w:r>
          <w:rPr>
            <w:rFonts w:ascii="Arial" w:hAnsi="Arial" w:cs="Arial"/>
            <w:color w:val="0000FF"/>
            <w:sz w:val="20"/>
            <w:szCs w:val="20"/>
          </w:rPr>
          <w:t>N 403</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указанном в </w:t>
      </w:r>
      <w:hyperlink w:anchor="Par263" w:history="1">
        <w:r>
          <w:rPr>
            <w:rFonts w:ascii="Arial" w:hAnsi="Arial" w:cs="Arial"/>
            <w:color w:val="0000FF"/>
            <w:sz w:val="20"/>
            <w:szCs w:val="20"/>
          </w:rPr>
          <w:t>пункте 21</w:t>
        </w:r>
      </w:hyperlink>
      <w:r>
        <w:rPr>
          <w:rFonts w:ascii="Arial" w:hAnsi="Arial" w:cs="Arial"/>
          <w:sz w:val="20"/>
          <w:szCs w:val="20"/>
        </w:rPr>
        <w:t xml:space="preserve"> настоящего документа, - с даты и времени, установленных в соответствии с </w:t>
      </w:r>
      <w:hyperlink w:anchor="Par238" w:history="1">
        <w:r>
          <w:rPr>
            <w:rFonts w:ascii="Arial" w:hAnsi="Arial" w:cs="Arial"/>
            <w:color w:val="0000FF"/>
            <w:sz w:val="20"/>
            <w:szCs w:val="20"/>
          </w:rPr>
          <w:t>абзацем четвертым пункта 16</w:t>
        </w:r>
      </w:hyperlink>
      <w:r>
        <w:rPr>
          <w:rFonts w:ascii="Arial" w:hAnsi="Arial" w:cs="Arial"/>
          <w:sz w:val="20"/>
          <w:szCs w:val="20"/>
        </w:rPr>
        <w:t xml:space="preserve"> настоящего документа для принятия гарантирующим поставщиком на обслуживание потребителей;</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204"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10.02.2014 N 95)</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смены собственника энергопринимающего устройства - с даты возникновения у нового собственника права собственности на энергопринимающее устройство при условии соблюдения новым собственником срока, предусмотренного </w:t>
      </w:r>
      <w:hyperlink w:anchor="Par387" w:history="1">
        <w:r>
          <w:rPr>
            <w:rFonts w:ascii="Arial" w:hAnsi="Arial" w:cs="Arial"/>
            <w:color w:val="0000FF"/>
            <w:sz w:val="20"/>
            <w:szCs w:val="20"/>
          </w:rPr>
          <w:t>пунктом 34(1)</w:t>
        </w:r>
      </w:hyperlink>
      <w:r>
        <w:rPr>
          <w:rFonts w:ascii="Arial" w:hAnsi="Arial" w:cs="Arial"/>
          <w:sz w:val="20"/>
          <w:szCs w:val="20"/>
        </w:rPr>
        <w:t xml:space="preserve"> настоящего документа, для направления гарантирующему поставщику заявления о заключении договора купли-продажи (поставки) электрической энергии (мощности) в отношении соответствующего энергопринимающего устройства.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205"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01.04.2020 N 403)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Договор купли-продажи (поставки) электрической энергии (мощности), заключаемый с гарантирующим поставщиком, является публичным.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договоре купли-продажи (поставки) электрической энергии (мощности), заключаемом с гарантирующим поставщиком, не регулируются отношения, связанные с оперативно-диспетчерским управлением и передачей электрической энергии в отношении энергопринимающих устройств потребителя.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5" w:name="Par337"/>
      <w:bookmarkEnd w:id="25"/>
      <w:r>
        <w:rPr>
          <w:rFonts w:ascii="Arial" w:hAnsi="Arial" w:cs="Arial"/>
          <w:sz w:val="20"/>
          <w:szCs w:val="20"/>
        </w:rPr>
        <w:lastRenderedPageBreak/>
        <w:t>30. В рамках договора энергоснабжения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сетевой организации, привлеченной для оказания услуг по передаче электрической энергии, а также других лиц, привлеченных для оказания услуг, которые являются неотъемлемой частью процесса поставки электрической энергии потребителям.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рамках договора купли-продажи (поставки) электрической энергии (мощности)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лиц, привлеченных им (ею) для оказания услуг, которые являются неотъемлемой частью процесса поставки электрической энергии потребителям. За неоказание или ненадлежащее оказание услуг по передаче электрической энергии ответственность перед потребителем (покупателем) несет оказывающая такие услуги сетевая организация.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Если энергопринимающее устройство потребителя технологически присоединено к объектам электросетевого хозяйства сетевой организации опосредованно через энергопринимающие устройства, объекты по производству электрической энергии (мощности), объекты электросетевого хозяйства лиц, не оказывающих услуги по передаче, то гарантирующий поставщик и сетевая организация несут ответственность перед потребителем за надежность снабжения его электрической энергией и ее качество в пределах границ балансовой принадлежности объектов электросетевого хозяйства сетевой организации. Наличие оснований и размер ответственности гарантирующего поставщика перед потребителем определяются в соответствии с гражданским законодательством Российской Федерации и законодательством Российской Федерации об электроэнергетике.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Гарантирующий поставщик в соответствии с гражданским законодательством Российской Федерации имеет право обратного требования (регресса) к лицам, за действия (бездействия) которых он несет ответственность перед потребителем (покупателем) по договору энергоснабжения (купли-продажи (поставки)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31. Потребитель, имеющий договор энергоснабжения (купли-продажи (поставки) электрической энергии (мощности)) с гарантирующим поставщиком, вправе при соблюдении условий, предусмотренных законодательством Российской Федерации, настоящим документом, расторгнуть заключенный с гарантирующим поставщиком договор 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заключить в соответствии с настоящим документом договор, обеспечивающий продажу ему электрической энергии (мощности), с энергосбытовой (энергоснабжающей) организацией;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заключить в соответствии с настоящим документом договор, обеспечивающий продажу ему электрической энергии (мощности), с производителем электрической энергии (мощности) на розничном рынке;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приступить к приобретению электрической энергии и мощности на оптовом рынке в порядке, предусмотренном </w:t>
      </w:r>
      <w:hyperlink r:id="rId206" w:history="1">
        <w:r>
          <w:rPr>
            <w:rFonts w:ascii="Arial" w:hAnsi="Arial" w:cs="Arial"/>
            <w:color w:val="0000FF"/>
            <w:sz w:val="20"/>
            <w:szCs w:val="20"/>
          </w:rPr>
          <w:t>Правилами</w:t>
        </w:r>
      </w:hyperlink>
      <w:r>
        <w:rPr>
          <w:rFonts w:ascii="Arial" w:hAnsi="Arial" w:cs="Arial"/>
          <w:sz w:val="20"/>
          <w:szCs w:val="20"/>
        </w:rPr>
        <w:t xml:space="preserve"> оптового рынка.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Если потребитель расторг договор с гарантирующим поставщиком в отношении энергопринимающих устройств, потребление электрической энергии которыми продолжается после даты и времени его расторжения, и при этом еще не наступили дата и время начала поставки электрической энергии в отношении таких энергопринимающих устройств по договорам, заключенным на розничном рынке, или по договорам, заключенным на оптовом рынке, то такое потребление электрической энергии рассматривается как бездоговорное потребление и влечет последствия бездоговорного потребления, указанные в настоящем документе.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6" w:name="Par346"/>
      <w:bookmarkEnd w:id="26"/>
      <w:r>
        <w:rPr>
          <w:rFonts w:ascii="Arial" w:hAnsi="Arial" w:cs="Arial"/>
          <w:sz w:val="20"/>
          <w:szCs w:val="20"/>
        </w:rPr>
        <w:t>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7" w:name="Par347"/>
      <w:bookmarkEnd w:id="27"/>
      <w:r>
        <w:rPr>
          <w:rFonts w:ascii="Arial" w:hAnsi="Arial" w:cs="Arial"/>
          <w:sz w:val="20"/>
          <w:szCs w:val="20"/>
        </w:rPr>
        <w:t xml:space="preserve">Гарантирующий поставщик обязан заключить договор энергоснабжения (купли-продажи (поставки) электрической энергии (мощности)) с любым обратившимся к нему потребителем, энергопринимающие устройства которого находятся в зоне деятельности гарантирующего поставщика и энергопринимающие устройства которого в установленном </w:t>
      </w:r>
      <w:hyperlink r:id="rId207" w:history="1">
        <w:r>
          <w:rPr>
            <w:rFonts w:ascii="Arial" w:hAnsi="Arial" w:cs="Arial"/>
            <w:color w:val="0000FF"/>
            <w:sz w:val="20"/>
            <w:szCs w:val="20"/>
          </w:rPr>
          <w:t>порядке</w:t>
        </w:r>
      </w:hyperlink>
      <w:r>
        <w:rPr>
          <w:rFonts w:ascii="Arial" w:hAnsi="Arial" w:cs="Arial"/>
          <w:sz w:val="20"/>
          <w:szCs w:val="20"/>
        </w:rPr>
        <w:t xml:space="preserve"> присоединены к объектам электросетевого хозяйства или в отношении энергопринимающих устройств которого заключен договор об осуществлении технологического присоединения к электрическим сетям сетевой организации в соответствии с </w:t>
      </w:r>
      <w:hyperlink r:id="rId208" w:history="1">
        <w:r>
          <w:rPr>
            <w:rFonts w:ascii="Arial" w:hAnsi="Arial" w:cs="Arial"/>
            <w:color w:val="0000FF"/>
            <w:sz w:val="20"/>
            <w:szCs w:val="20"/>
          </w:rPr>
          <w:t>Правилами</w:t>
        </w:r>
      </w:hyperlink>
      <w:r>
        <w:rPr>
          <w:rFonts w:ascii="Arial" w:hAnsi="Arial" w:cs="Arial"/>
          <w:sz w:val="20"/>
          <w:szCs w:val="20"/>
        </w:rPr>
        <w:t xml:space="preserve"> технологического </w:t>
      </w:r>
      <w:r>
        <w:rPr>
          <w:rFonts w:ascii="Arial" w:hAnsi="Arial" w:cs="Arial"/>
          <w:sz w:val="20"/>
          <w:szCs w:val="20"/>
        </w:rPr>
        <w:lastRenderedPageBreak/>
        <w:t>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Российской Федерации от 27 декабря 2004 г. N 861 (далее - Правила технологического присоединения), или с любым обратившимся к нему покупателем, действующим в интересах такого потребителя.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Постановлений Правительства РФ от 10.02.2014 </w:t>
      </w:r>
      <w:hyperlink r:id="rId209" w:history="1">
        <w:r>
          <w:rPr>
            <w:rFonts w:ascii="Arial" w:hAnsi="Arial" w:cs="Arial"/>
            <w:color w:val="0000FF"/>
            <w:sz w:val="20"/>
            <w:szCs w:val="20"/>
          </w:rPr>
          <w:t>N 95</w:t>
        </w:r>
      </w:hyperlink>
      <w:r>
        <w:rPr>
          <w:rFonts w:ascii="Arial" w:hAnsi="Arial" w:cs="Arial"/>
          <w:sz w:val="20"/>
          <w:szCs w:val="20"/>
        </w:rPr>
        <w:t xml:space="preserve">, от 18.04.2020 </w:t>
      </w:r>
      <w:hyperlink r:id="rId210" w:history="1">
        <w:r>
          <w:rPr>
            <w:rFonts w:ascii="Arial" w:hAnsi="Arial" w:cs="Arial"/>
            <w:color w:val="0000FF"/>
            <w:sz w:val="20"/>
            <w:szCs w:val="20"/>
          </w:rPr>
          <w:t>N 554</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Гарантирующий поставщик вправе отказаться от заключения договора энергоснабжения (купли-продажи (поставки) электрической энергии (мощности)) с потребителем (покупателем) при отсутствии возможности поставить электрическую энергию (мощность) потребителю вследствие отсутствия технологического присоединения в установленном порядке энергопринимающих устройств, в отношении которых предполагается заключение договора, к объектам электросетевого хозяйства и отсутствия при этом в отношении указанных энергопринимающих устройств заключенного договора об осуществлении технологического присоединения к электрическим сетям в соответствии с </w:t>
      </w:r>
      <w:hyperlink r:id="rId211" w:history="1">
        <w:r>
          <w:rPr>
            <w:rFonts w:ascii="Arial" w:hAnsi="Arial" w:cs="Arial"/>
            <w:color w:val="0000FF"/>
            <w:sz w:val="20"/>
            <w:szCs w:val="20"/>
          </w:rPr>
          <w:t>Правилами</w:t>
        </w:r>
      </w:hyperlink>
      <w:r>
        <w:rPr>
          <w:rFonts w:ascii="Arial" w:hAnsi="Arial" w:cs="Arial"/>
          <w:sz w:val="20"/>
          <w:szCs w:val="20"/>
        </w:rPr>
        <w:t xml:space="preserve">, указанными в </w:t>
      </w:r>
      <w:hyperlink w:anchor="Par347" w:history="1">
        <w:r>
          <w:rPr>
            <w:rFonts w:ascii="Arial" w:hAnsi="Arial" w:cs="Arial"/>
            <w:color w:val="0000FF"/>
            <w:sz w:val="20"/>
            <w:szCs w:val="20"/>
          </w:rPr>
          <w:t>абзаце втором</w:t>
        </w:r>
      </w:hyperlink>
      <w:r>
        <w:rPr>
          <w:rFonts w:ascii="Arial" w:hAnsi="Arial" w:cs="Arial"/>
          <w:sz w:val="20"/>
          <w:szCs w:val="20"/>
        </w:rPr>
        <w:t xml:space="preserve"> настоящего пункта, или вследствие нахождения энергопринимающих устройств, в отношении которых предполагается заключение договора, вне зоны деятельности гарантирующего поставщика.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212"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10.02.2014 N 95)</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Об отказе от заключения договора энергоснабжения (купли-продажи (поставки) электрической энергии (мощности)) с указанием причин такого отказа гарантирующий поставщик в письменной форме обязан уведомить обратившегося к нему потребителя (покупателя) в течение 5 рабочих дней со дня его обращения к гарантирующему поставщику для заключения договора, а в случае подачи заявления о заключении договора через сетевую организацию - соответствующую сетевую организацию в течение 5 рабочих дней со дня поступления заявления о заключении договора в адрес гарантирующего поставщика.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213"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22.02.2016 N 128)</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8" w:name="Par353"/>
      <w:bookmarkEnd w:id="28"/>
      <w:r>
        <w:rPr>
          <w:rFonts w:ascii="Arial" w:hAnsi="Arial" w:cs="Arial"/>
          <w:sz w:val="20"/>
          <w:szCs w:val="20"/>
        </w:rPr>
        <w:t>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Гарантирующий поставщик обязан разработать формы договора энергоснабжения (купли-продажи (поставки) электрической энергии (мощности)) для обслуживаемых им потребителей, дифференцированные по ценовым категориям и (или) по категориям потребителей, по которым осуществляется дифференциация тарифов, для исполнителей коммунальных услуг и для граждан, для энергосбытовых (энергоснабжающих) организаций, для гарантирующих поставщиков, которые вправе приобретать электрическую энергию (мощность) у другого гарантирующего поставщика на розничном рынке. В случае внесения изменений в настоящий документ, влекущих необходимость внесения изменений в ранее разработанные формы договора энергоснабжения (купли-продажи (поставки) электрической энергии (мощности)), гарантирующий поставщик обязан не позднее 1 месяца с даты вступления в силу изменений в настоящий документ внести соответствующие изменения в ранее разработанные формы договора энергоснабжения (купли-продажи (поставки)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Гарантирующий поставщик обязан разместить разработанные (измененные) им формы договора энергоснабжения (купли-продажи (поставки) электрической энергии (мощности)) в центрах очного обслуживания, на своем сайте в сети "Интернет" и представить их в территориальный орган федерального антимонопольного органа.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Федеральная антимонопольная служба (ее территориальные органы) осуществляют контроль за соответствием разработанных гарантирующими поставщиками форм договоров энергоснабжения (купли-продажи (поставки) электрической энергии (мощности)) настоящему документу.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Размещенные и опубликованные таким образом формы договора энергоснабжения (купли-продажи (поставки) электрической энергии (мощности)) являются проектом договора, предлагаемого гарантирующим поставщиком к заключению с потребителями (покупателями), и могут быть использованы потребителем (покупателем), имеющим намерение заключить с гарантирующим поставщиком соответствующий договор или внести изменения в ранее заключенный договор, при подаче гарантирующему поставщику документов, необходимых в соответствии с настоящим документом, для заключения договора или внесения изменений в ранее заключенный договор.</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При этом потребитель (покупатель) в части тех условий договора, которые включены в форму договора в виде описания исчерпывающего перечня вариантов их применения, вправе выбрать тот вариант, из числа относящихся к этому потребителю (покупателю), который он считает для себя наиболее приемлемым.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несогласии потребителя (покупателя) с каким-либо условием договора, содержание которого предписано настоящим документом, по причине несоответствия формулировки такого условия настоящему документу либо при его несогласии с каким-либо условием договора, содержание которого в соответствии с настоящим документом может быть определено по усмотрению сторон, он вправе направить гарантирующему поставщику предложение о заключении договора на иных условиях (далее - протокол разногласий к проекту договора).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9" w:name="Par360"/>
      <w:bookmarkEnd w:id="29"/>
      <w:r>
        <w:rPr>
          <w:rFonts w:ascii="Arial" w:hAnsi="Arial" w:cs="Arial"/>
          <w:sz w:val="20"/>
          <w:szCs w:val="20"/>
        </w:rPr>
        <w:t xml:space="preserve">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w:t>
      </w:r>
      <w:hyperlink w:anchor="Par395" w:history="1">
        <w:r>
          <w:rPr>
            <w:rFonts w:ascii="Arial" w:hAnsi="Arial" w:cs="Arial"/>
            <w:color w:val="0000FF"/>
            <w:sz w:val="20"/>
            <w:szCs w:val="20"/>
          </w:rPr>
          <w:t>пунктах 35</w:t>
        </w:r>
      </w:hyperlink>
      <w:r>
        <w:rPr>
          <w:rFonts w:ascii="Arial" w:hAnsi="Arial" w:cs="Arial"/>
          <w:sz w:val="20"/>
          <w:szCs w:val="20"/>
        </w:rPr>
        <w:t xml:space="preserve">, </w:t>
      </w:r>
      <w:hyperlink w:anchor="Par657" w:history="1">
        <w:r>
          <w:rPr>
            <w:rFonts w:ascii="Arial" w:hAnsi="Arial" w:cs="Arial"/>
            <w:color w:val="0000FF"/>
            <w:sz w:val="20"/>
            <w:szCs w:val="20"/>
          </w:rPr>
          <w:t>74</w:t>
        </w:r>
      </w:hyperlink>
      <w:r>
        <w:rPr>
          <w:rFonts w:ascii="Arial" w:hAnsi="Arial" w:cs="Arial"/>
          <w:sz w:val="20"/>
          <w:szCs w:val="20"/>
        </w:rPr>
        <w:t xml:space="preserve"> и </w:t>
      </w:r>
      <w:hyperlink w:anchor="Par961" w:history="1">
        <w:r>
          <w:rPr>
            <w:rFonts w:ascii="Arial" w:hAnsi="Arial" w:cs="Arial"/>
            <w:color w:val="0000FF"/>
            <w:sz w:val="20"/>
            <w:szCs w:val="20"/>
          </w:rPr>
          <w:t>106</w:t>
        </w:r>
      </w:hyperlink>
      <w:r>
        <w:rPr>
          <w:rFonts w:ascii="Arial" w:hAnsi="Arial" w:cs="Arial"/>
          <w:sz w:val="20"/>
          <w:szCs w:val="20"/>
        </w:rPr>
        <w:t xml:space="preserve"> настоящего документа, следующие документы:</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Постановлений Правительства РФ от 10.02.2014 </w:t>
      </w:r>
      <w:hyperlink r:id="rId214" w:history="1">
        <w:r>
          <w:rPr>
            <w:rFonts w:ascii="Arial" w:hAnsi="Arial" w:cs="Arial"/>
            <w:color w:val="0000FF"/>
            <w:sz w:val="20"/>
            <w:szCs w:val="20"/>
          </w:rPr>
          <w:t>N 95</w:t>
        </w:r>
      </w:hyperlink>
      <w:r>
        <w:rPr>
          <w:rFonts w:ascii="Arial" w:hAnsi="Arial" w:cs="Arial"/>
          <w:sz w:val="20"/>
          <w:szCs w:val="20"/>
        </w:rPr>
        <w:t xml:space="preserve">, от 11.05.2017 </w:t>
      </w:r>
      <w:hyperlink r:id="rId215" w:history="1">
        <w:r>
          <w:rPr>
            <w:rFonts w:ascii="Arial" w:hAnsi="Arial" w:cs="Arial"/>
            <w:color w:val="0000FF"/>
            <w:sz w:val="20"/>
            <w:szCs w:val="20"/>
          </w:rPr>
          <w:t>N 557</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30" w:name="Par362"/>
      <w:bookmarkEnd w:id="30"/>
      <w:r>
        <w:rPr>
          <w:rFonts w:ascii="Arial" w:hAnsi="Arial" w:cs="Arial"/>
          <w:sz w:val="20"/>
          <w:szCs w:val="20"/>
        </w:rPr>
        <w:t xml:space="preserve">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w:t>
      </w:r>
      <w:hyperlink w:anchor="Par353" w:history="1">
        <w:r>
          <w:rPr>
            <w:rFonts w:ascii="Arial" w:hAnsi="Arial" w:cs="Arial"/>
            <w:color w:val="0000FF"/>
            <w:sz w:val="20"/>
            <w:szCs w:val="20"/>
          </w:rPr>
          <w:t>пунктом 33</w:t>
        </w:r>
      </w:hyperlink>
      <w:r>
        <w:rPr>
          <w:rFonts w:ascii="Arial" w:hAnsi="Arial" w:cs="Arial"/>
          <w:sz w:val="20"/>
          <w:szCs w:val="20"/>
        </w:rPr>
        <w:t xml:space="preserve"> настоящего документа (предоставляется по желанию заявителя);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31" w:name="Par363"/>
      <w:bookmarkEnd w:id="31"/>
      <w:r>
        <w:rPr>
          <w:rFonts w:ascii="Arial" w:hAnsi="Arial" w:cs="Arial"/>
          <w:sz w:val="20"/>
          <w:szCs w:val="20"/>
        </w:rPr>
        <w:t>правоустанавливающие и иные документы заявителя (свидетельство о государственной регистрации заявителя в качестве юридического лица или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216"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30.12.2012 N 1482)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32" w:name="Par365"/>
      <w:bookmarkEnd w:id="32"/>
      <w:r>
        <w:rPr>
          <w:rFonts w:ascii="Arial" w:hAnsi="Arial" w:cs="Arial"/>
          <w:sz w:val="20"/>
          <w:szCs w:val="20"/>
        </w:rPr>
        <w:t>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энергопринимающие устройства, либо документы, подтверждающие право владения и (или) пользования земельным участком, о снабжении которых электрической энергией указано в заявлении о заключении договора, либо протокол оценки и сопоставления заявок на участие в конкурсе на право заключения договора аренды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который подтверждает, что заявитель является победителем такого конкурса;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217"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07.07.2017 N 810)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33" w:name="Par367"/>
      <w:bookmarkEnd w:id="33"/>
      <w:r>
        <w:rPr>
          <w:rFonts w:ascii="Arial" w:hAnsi="Arial" w:cs="Arial"/>
          <w:sz w:val="20"/>
          <w:szCs w:val="20"/>
        </w:rPr>
        <w:t>подписанная уполномоченным лицом энергосбытовой (энергоснабжающей) организации выписка из договоров энергоснабжения (купли-продажи (поставки) электрической энергии (мощности)), заключенных с потребителями, в интересах которых энергосбытовая (энергоснабжающая) организация намеревается приобретать электрическую энергию (мощность) у гарантирующего поставщика, которая должна содержать сведения о сроках начала и окончания поставки электрической энергии в каждой точке поставки по каждому такому потребителю, о каждой такой точке поставки (предоставляются только энергосбытовой (энергоснабжающей) организацией, когда она выступает заявителем);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34" w:name="Par368"/>
      <w:bookmarkEnd w:id="34"/>
      <w:r>
        <w:rPr>
          <w:rFonts w:ascii="Arial" w:hAnsi="Arial" w:cs="Arial"/>
          <w:sz w:val="20"/>
          <w:szCs w:val="20"/>
        </w:rPr>
        <w:t xml:space="preserve">документы, подтверждающие технологическое присоединение (в том числе и опосредованно) в установленном </w:t>
      </w:r>
      <w:hyperlink r:id="rId218" w:history="1">
        <w:r>
          <w:rPr>
            <w:rFonts w:ascii="Arial" w:hAnsi="Arial" w:cs="Arial"/>
            <w:color w:val="0000FF"/>
            <w:sz w:val="20"/>
            <w:szCs w:val="20"/>
          </w:rPr>
          <w:t>порядке</w:t>
        </w:r>
      </w:hyperlink>
      <w:r>
        <w:rPr>
          <w:rFonts w:ascii="Arial" w:hAnsi="Arial" w:cs="Arial"/>
          <w:sz w:val="20"/>
          <w:szCs w:val="20"/>
        </w:rPr>
        <w:t xml:space="preserve">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 </w:t>
      </w:r>
      <w:hyperlink w:anchor="Par403" w:history="1">
        <w:r>
          <w:rPr>
            <w:rFonts w:ascii="Arial" w:hAnsi="Arial" w:cs="Arial"/>
            <w:color w:val="0000FF"/>
            <w:sz w:val="20"/>
            <w:szCs w:val="20"/>
          </w:rPr>
          <w:t>пунктом 37</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Постановлений Правительства РФ от 10.02.2014 </w:t>
      </w:r>
      <w:hyperlink r:id="rId219" w:history="1">
        <w:r>
          <w:rPr>
            <w:rFonts w:ascii="Arial" w:hAnsi="Arial" w:cs="Arial"/>
            <w:color w:val="0000FF"/>
            <w:sz w:val="20"/>
            <w:szCs w:val="20"/>
          </w:rPr>
          <w:t>N 95</w:t>
        </w:r>
      </w:hyperlink>
      <w:r>
        <w:rPr>
          <w:rFonts w:ascii="Arial" w:hAnsi="Arial" w:cs="Arial"/>
          <w:sz w:val="20"/>
          <w:szCs w:val="20"/>
        </w:rPr>
        <w:t xml:space="preserve">, от 11.05.2017 </w:t>
      </w:r>
      <w:hyperlink r:id="rId220" w:history="1">
        <w:r>
          <w:rPr>
            <w:rFonts w:ascii="Arial" w:hAnsi="Arial" w:cs="Arial"/>
            <w:color w:val="0000FF"/>
            <w:sz w:val="20"/>
            <w:szCs w:val="20"/>
          </w:rPr>
          <w:t>N 557</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документы о допуске в эксплуатацию приборов учета (предоставляются при наличии у заявителя приборов учета);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221"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11.05.2017 N 557)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документ, подтверждающий наличие технологической и (или) аварийной брони (предоставляется при его наличии у заявителя);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222"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11.05.2017 N 557)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35" w:name="Par374"/>
      <w:bookmarkEnd w:id="35"/>
      <w:r>
        <w:rPr>
          <w:rFonts w:ascii="Arial" w:hAnsi="Arial" w:cs="Arial"/>
          <w:sz w:val="20"/>
          <w:szCs w:val="20"/>
        </w:rPr>
        <w:t xml:space="preserve">иные документы, необходимые для заключения договора оказания услуг по передаче электрической энергии в соответствии с </w:t>
      </w:r>
      <w:hyperlink r:id="rId223" w:history="1">
        <w:r>
          <w:rPr>
            <w:rFonts w:ascii="Arial" w:hAnsi="Arial" w:cs="Arial"/>
            <w:color w:val="0000FF"/>
            <w:sz w:val="20"/>
            <w:szCs w:val="20"/>
          </w:rPr>
          <w:t>Правилами</w:t>
        </w:r>
      </w:hyperlink>
      <w:r>
        <w:rPr>
          <w:rFonts w:ascii="Arial" w:hAnsi="Arial" w:cs="Arial"/>
          <w:sz w:val="20"/>
          <w:szCs w:val="20"/>
        </w:rPr>
        <w:t xml:space="preserve"> недискриминационного доступа к услугам по передаче электрической энергии и оказания этих услуг (предоставляется заявителем, который подает заявление о заключении договора энергоснабжения).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Документы, указанные в </w:t>
      </w:r>
      <w:hyperlink w:anchor="Par368" w:history="1">
        <w:r>
          <w:rPr>
            <w:rFonts w:ascii="Arial" w:hAnsi="Arial" w:cs="Arial"/>
            <w:color w:val="0000FF"/>
            <w:sz w:val="20"/>
            <w:szCs w:val="20"/>
          </w:rPr>
          <w:t>абзацах шестом</w:t>
        </w:r>
      </w:hyperlink>
      <w:r>
        <w:rPr>
          <w:rFonts w:ascii="Arial" w:hAnsi="Arial" w:cs="Arial"/>
          <w:sz w:val="20"/>
          <w:szCs w:val="20"/>
        </w:rPr>
        <w:t xml:space="preserve"> - </w:t>
      </w:r>
      <w:hyperlink w:anchor="Par374" w:history="1">
        <w:r>
          <w:rPr>
            <w:rFonts w:ascii="Arial" w:hAnsi="Arial" w:cs="Arial"/>
            <w:color w:val="0000FF"/>
            <w:sz w:val="20"/>
            <w:szCs w:val="20"/>
          </w:rPr>
          <w:t>девятом</w:t>
        </w:r>
      </w:hyperlink>
      <w:r>
        <w:rPr>
          <w:rFonts w:ascii="Arial" w:hAnsi="Arial" w:cs="Arial"/>
          <w:sz w:val="20"/>
          <w:szCs w:val="20"/>
        </w:rPr>
        <w:t xml:space="preserve"> настоящего пункта, энергосбытовая (энергоснабжающая) организация, которая выступает заявителем, предоставляет гарантирующему поставщику в отношении точек поставки по каждому договору энергоснабжения (купли-продажи (поставки) электрической энергии (мощности)), заключенному с потребителем, в интересах которого энергосбытовая (энергоснабжающая) организация намеревается приобретать электрическую энергию (мощность) у гарантирующего поставщика.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Абзацы одиннадцатый - двенадцатый утратили силу. - </w:t>
      </w:r>
      <w:hyperlink r:id="rId224" w:history="1">
        <w:r>
          <w:rPr>
            <w:rFonts w:ascii="Arial" w:hAnsi="Arial" w:cs="Arial"/>
            <w:color w:val="0000FF"/>
            <w:sz w:val="20"/>
            <w:szCs w:val="20"/>
          </w:rPr>
          <w:t>Постановление</w:t>
        </w:r>
      </w:hyperlink>
      <w:r>
        <w:rPr>
          <w:rFonts w:ascii="Arial" w:hAnsi="Arial" w:cs="Arial"/>
          <w:sz w:val="20"/>
          <w:szCs w:val="20"/>
        </w:rPr>
        <w:t xml:space="preserve"> Правительства РФ от 11.05.2017 N 557.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заключении договора до завершения процедуры технологического присоединения энергопринимающих устройств к объектам электросетевого хозяйства сетевой организации, в отношении которых заключается договор, в случае, если заявителем при подаче документов в адрес сетевой организации был выбран способ обмена документами в электронной форме, подписанными усиленной квалифицированной (в отношении заявителей - юридических лиц или индивидуальных предпринимателей) или простой электронной подписью (в отношении заявителей - физических лиц), а также в случае, если заявителями являются лица, указанные в </w:t>
      </w:r>
      <w:hyperlink r:id="rId225" w:history="1">
        <w:r>
          <w:rPr>
            <w:rFonts w:ascii="Arial" w:hAnsi="Arial" w:cs="Arial"/>
            <w:color w:val="0000FF"/>
            <w:sz w:val="20"/>
            <w:szCs w:val="20"/>
          </w:rPr>
          <w:t>пунктах 12(1)</w:t>
        </w:r>
      </w:hyperlink>
      <w:r>
        <w:rPr>
          <w:rFonts w:ascii="Arial" w:hAnsi="Arial" w:cs="Arial"/>
          <w:sz w:val="20"/>
          <w:szCs w:val="20"/>
        </w:rPr>
        <w:t xml:space="preserve"> и </w:t>
      </w:r>
      <w:hyperlink r:id="rId226" w:history="1">
        <w:r>
          <w:rPr>
            <w:rFonts w:ascii="Arial" w:hAnsi="Arial" w:cs="Arial"/>
            <w:color w:val="0000FF"/>
            <w:sz w:val="20"/>
            <w:szCs w:val="20"/>
          </w:rPr>
          <w:t>14</w:t>
        </w:r>
      </w:hyperlink>
      <w:r>
        <w:rPr>
          <w:rFonts w:ascii="Arial" w:hAnsi="Arial" w:cs="Arial"/>
          <w:sz w:val="20"/>
          <w:szCs w:val="20"/>
        </w:rP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Российской Федерации от 27 декабря 2004 г. N 861, гарантирующий поставщик должен обеспечить направление документов в адрес сетевой организации, в том числе подписанного со своей стороны проекта договора энергоснабжения (купли-продажи (поставки) электрической энергии (мощности)), в электронной форме, подписанных усиленной квалифицированной электронной подписью уполномоченного лица гарантирующего поставщика.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227"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08.12.2016 N 1319; в ред. </w:t>
      </w:r>
      <w:hyperlink r:id="rId228"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10.03.2020 N 262)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направления заявления о заключении договора энергоснабжения гражданином, осуществляющим ведение садоводства или огородничества на земельном участке, расположенном в границах территории ведения гражданами садоводства или огородничества для собственных нужд (далее - территория садоводства или огородничества), энергопринимающие устройства которого ранее были подключены к электрическим сетям в рамках технологического присоединения садоводческого или огороднического некоммерческого товарищества, при отсутствии документов, предусмотренных </w:t>
      </w:r>
      <w:hyperlink w:anchor="Par368" w:history="1">
        <w:r>
          <w:rPr>
            <w:rFonts w:ascii="Arial" w:hAnsi="Arial" w:cs="Arial"/>
            <w:color w:val="0000FF"/>
            <w:sz w:val="20"/>
            <w:szCs w:val="20"/>
          </w:rPr>
          <w:t>абзацем шестым</w:t>
        </w:r>
      </w:hyperlink>
      <w:r>
        <w:rPr>
          <w:rFonts w:ascii="Arial" w:hAnsi="Arial" w:cs="Arial"/>
          <w:sz w:val="20"/>
          <w:szCs w:val="20"/>
        </w:rPr>
        <w:t xml:space="preserve"> настоящего пункта, представляются документы, подтверждающие наличие членства в таком товариществе на дату осуществления сетевой организацией мероприятий по технологическому присоединению энергопринимающих устройств, принадлежащих такому товариществу, или иные документы, подтверждающие наличие фактического технологического присоединения энергопринимающих устройств заявителя к объектам электросетевого хозяйства.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229"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21.12.2018 N 1622)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направления заявления о заключении договора энергоснабжения гражданином, осуществляющим ведение садоводства или огородничества на земельном участке, расположенном в границах территории садоводства или огородничества, энергопринимающие устройства которого ранее были подключены к электрическим сетям в рамках технологического присоединения некоммерческой организации, созданной гражданами для ведения садоводства, огородничества и дачного хозяйства до 1 января 2019 г. (не являющейся садоводческим или огородническим некоммерческим товариществом), при отсутствии документов, предусмотренных </w:t>
      </w:r>
      <w:hyperlink w:anchor="Par368" w:history="1">
        <w:r>
          <w:rPr>
            <w:rFonts w:ascii="Arial" w:hAnsi="Arial" w:cs="Arial"/>
            <w:color w:val="0000FF"/>
            <w:sz w:val="20"/>
            <w:szCs w:val="20"/>
          </w:rPr>
          <w:t>абзацем шестым</w:t>
        </w:r>
      </w:hyperlink>
      <w:r>
        <w:rPr>
          <w:rFonts w:ascii="Arial" w:hAnsi="Arial" w:cs="Arial"/>
          <w:sz w:val="20"/>
          <w:szCs w:val="20"/>
        </w:rPr>
        <w:t xml:space="preserve"> настоящего пункта, представляются документы, подтверждающие наличие членства в такой некоммерческой организации на дату осуществления сетевой организацией мероприятий по технологическому присоединению энергопринимающих устройств, принадлежащих указанной некоммерческой организации, или иные документы, подтверждающие наличие </w:t>
      </w:r>
      <w:r>
        <w:rPr>
          <w:rFonts w:ascii="Arial" w:hAnsi="Arial" w:cs="Arial"/>
          <w:sz w:val="20"/>
          <w:szCs w:val="20"/>
        </w:rPr>
        <w:lastRenderedPageBreak/>
        <w:t>фактического технологического присоединения энергопринимающих устройств заявителя к объектам электросетевого хозяйства.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230"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21.12.2018 N 1622)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направления заявления о заключении договора энергоснабжения в отношении энергопринимающих устройств, принадлежащих потребительскому кооперативу (гаражно-строительному, гаражному кооперативу) (далее - кооператив) либо его членам, представляется справка о количестве гаражей либо иных объектов, расположенных в границах территории кооператива, с указанием информации о фамилии, имени, отчестве собственников или иных законных владельцев гаражей либо иных объектов, расположенных в границах территории кооператива, сериях, номерах и датах выдачи паспортов или иных документов, удостоверяющих личность указанных собственников или иных законных владельцев в соответствии с законодательством Российской Федерации, заполненное всеми собственниками или иными законными владельцами гаражей либо иных объектов, расположенных в границах территории кооператива, в отношении энергопринимающих устройств которых подается заявка, согласие на обработку персональных данных, а также в случае наличия такой информации - кадастровые номера земельных участков, расположенных в границах территории кооператива, и данные о величине максимальной мощности энергопринимающих устройств, выделенной на каждый гараж либо иной объект, расположенный в границах территории кооператива, в соответствии с решением общего собрания членов кооператива.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231"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01.04.2020 N 403)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36" w:name="Par385"/>
      <w:bookmarkEnd w:id="36"/>
      <w:r>
        <w:rPr>
          <w:rFonts w:ascii="Arial" w:hAnsi="Arial" w:cs="Arial"/>
          <w:sz w:val="20"/>
          <w:szCs w:val="20"/>
        </w:rPr>
        <w:t xml:space="preserve">В случае направления заявления о заключении договора энергоснабжения (купли-продажи (поставки) электрической энергии (мощности) в соответствии с </w:t>
      </w:r>
      <w:hyperlink w:anchor="Par387" w:history="1">
        <w:r>
          <w:rPr>
            <w:rFonts w:ascii="Arial" w:hAnsi="Arial" w:cs="Arial"/>
            <w:color w:val="0000FF"/>
            <w:sz w:val="20"/>
            <w:szCs w:val="20"/>
          </w:rPr>
          <w:t>пунктом 34(1)</w:t>
        </w:r>
      </w:hyperlink>
      <w:r>
        <w:rPr>
          <w:rFonts w:ascii="Arial" w:hAnsi="Arial" w:cs="Arial"/>
          <w:sz w:val="20"/>
          <w:szCs w:val="20"/>
        </w:rPr>
        <w:t xml:space="preserve"> настоящего документа новый собственник энергопринимающего устройства вправе предоставить показания приборов учета на дату перехода к нему права собственности на энергопринимающее устройство, подписанные предыдущим собственником. При отсутствии таких показаний приборов учета в отношении первого расчетного периода со дня указанного перехода права собственности объем потребления электрической энергии определяется исходя из количества дней, истекших со дня последнего снятия показаний приборов учета до указанной даты перехода права собственности, и усредненного объема потребления электрической энергии в день в период между последним и предпоследним снятием показаний приборов учета.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232"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01.04.2020 N 403)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37" w:name="Par387"/>
      <w:bookmarkEnd w:id="37"/>
      <w:r>
        <w:rPr>
          <w:rFonts w:ascii="Arial" w:hAnsi="Arial" w:cs="Arial"/>
          <w:sz w:val="20"/>
          <w:szCs w:val="20"/>
        </w:rPr>
        <w:t xml:space="preserve">34(1). Для заключения договора энергоснабжения (купли-продажи (поставки) электрической энергии (мощности) с гарантирующим поставщиком при смене собственника энергопринимающего устройства заявитель направляет гарантирующему поставщику заявление о заключении соответствующего договора с приложением документов, указанных в </w:t>
      </w:r>
      <w:hyperlink w:anchor="Par363" w:history="1">
        <w:r>
          <w:rPr>
            <w:rFonts w:ascii="Arial" w:hAnsi="Arial" w:cs="Arial"/>
            <w:color w:val="0000FF"/>
            <w:sz w:val="20"/>
            <w:szCs w:val="20"/>
          </w:rPr>
          <w:t>абзацах третьем</w:t>
        </w:r>
      </w:hyperlink>
      <w:r>
        <w:rPr>
          <w:rFonts w:ascii="Arial" w:hAnsi="Arial" w:cs="Arial"/>
          <w:sz w:val="20"/>
          <w:szCs w:val="20"/>
        </w:rPr>
        <w:t xml:space="preserve">, </w:t>
      </w:r>
      <w:hyperlink w:anchor="Par365" w:history="1">
        <w:r>
          <w:rPr>
            <w:rFonts w:ascii="Arial" w:hAnsi="Arial" w:cs="Arial"/>
            <w:color w:val="0000FF"/>
            <w:sz w:val="20"/>
            <w:szCs w:val="20"/>
          </w:rPr>
          <w:t>четвертом</w:t>
        </w:r>
      </w:hyperlink>
      <w:r>
        <w:rPr>
          <w:rFonts w:ascii="Arial" w:hAnsi="Arial" w:cs="Arial"/>
          <w:sz w:val="20"/>
          <w:szCs w:val="20"/>
        </w:rPr>
        <w:t xml:space="preserve"> и </w:t>
      </w:r>
      <w:hyperlink w:anchor="Par374" w:history="1">
        <w:r>
          <w:rPr>
            <w:rFonts w:ascii="Arial" w:hAnsi="Arial" w:cs="Arial"/>
            <w:color w:val="0000FF"/>
            <w:sz w:val="20"/>
            <w:szCs w:val="20"/>
          </w:rPr>
          <w:t>девятом пункта 34</w:t>
        </w:r>
      </w:hyperlink>
      <w:r>
        <w:rPr>
          <w:rFonts w:ascii="Arial" w:hAnsi="Arial" w:cs="Arial"/>
          <w:sz w:val="20"/>
          <w:szCs w:val="20"/>
        </w:rPr>
        <w:t xml:space="preserve"> настоящего документа (для случаев заключения договора энергоснабжения) или </w:t>
      </w:r>
      <w:hyperlink w:anchor="Par363" w:history="1">
        <w:r>
          <w:rPr>
            <w:rFonts w:ascii="Arial" w:hAnsi="Arial" w:cs="Arial"/>
            <w:color w:val="0000FF"/>
            <w:sz w:val="20"/>
            <w:szCs w:val="20"/>
          </w:rPr>
          <w:t>абзацах третьем</w:t>
        </w:r>
      </w:hyperlink>
      <w:r>
        <w:rPr>
          <w:rFonts w:ascii="Arial" w:hAnsi="Arial" w:cs="Arial"/>
          <w:sz w:val="20"/>
          <w:szCs w:val="20"/>
        </w:rPr>
        <w:t xml:space="preserve"> и </w:t>
      </w:r>
      <w:hyperlink w:anchor="Par365" w:history="1">
        <w:r>
          <w:rPr>
            <w:rFonts w:ascii="Arial" w:hAnsi="Arial" w:cs="Arial"/>
            <w:color w:val="0000FF"/>
            <w:sz w:val="20"/>
            <w:szCs w:val="20"/>
          </w:rPr>
          <w:t>четвертом пункта 34</w:t>
        </w:r>
      </w:hyperlink>
      <w:r>
        <w:rPr>
          <w:rFonts w:ascii="Arial" w:hAnsi="Arial" w:cs="Arial"/>
          <w:sz w:val="20"/>
          <w:szCs w:val="20"/>
        </w:rPr>
        <w:t xml:space="preserve"> настоящего документа (для случаев заключения договора купли-продажи (поставки) электрической энергии (мощности), и по желанию заявителя - проект договора энергоснабжения (купли-продажи (поставки) электрической энергии (мощности). Иные документы, указанные в </w:t>
      </w:r>
      <w:hyperlink w:anchor="Par360" w:history="1">
        <w:r>
          <w:rPr>
            <w:rFonts w:ascii="Arial" w:hAnsi="Arial" w:cs="Arial"/>
            <w:color w:val="0000FF"/>
            <w:sz w:val="20"/>
            <w:szCs w:val="20"/>
          </w:rPr>
          <w:t>пункте 34</w:t>
        </w:r>
      </w:hyperlink>
      <w:r>
        <w:rPr>
          <w:rFonts w:ascii="Arial" w:hAnsi="Arial" w:cs="Arial"/>
          <w:sz w:val="20"/>
          <w:szCs w:val="20"/>
        </w:rPr>
        <w:t xml:space="preserve"> или </w:t>
      </w:r>
      <w:hyperlink w:anchor="Par395" w:history="1">
        <w:r>
          <w:rPr>
            <w:rFonts w:ascii="Arial" w:hAnsi="Arial" w:cs="Arial"/>
            <w:color w:val="0000FF"/>
            <w:sz w:val="20"/>
            <w:szCs w:val="20"/>
          </w:rPr>
          <w:t>пункте 35</w:t>
        </w:r>
      </w:hyperlink>
      <w:r>
        <w:rPr>
          <w:rFonts w:ascii="Arial" w:hAnsi="Arial" w:cs="Arial"/>
          <w:sz w:val="20"/>
          <w:szCs w:val="20"/>
        </w:rPr>
        <w:t xml:space="preserve"> настоящего документа, предоставляются по желанию заявителя.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Новый собственник энергопринимающего устройства направляет гарантирующему поставщику заявление о заключении договора энергоснабжения или договора купли-продажи (поставки) электрической энергии (мощности) не позднее 30 дней со дня перехода права собственности на энергопринимающее устройство.</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заключении договора энергоснабжения (купли-продажи (поставки) электрической энергии (мощности) при смене собственника энергопринимающего устройства исполнение обязательств по договору, заключаемому новым собственником, начинается с даты возникновения права собственности на энергопринимающее устройство, если иное не определено соглашением между предыдущим собственником и новым собственником энергопринимающего устройства. В случае наличия такого соглашения оно подлежит направлению заявителем в адрес гарантирующего поставщика вместе с приложением заявления о заключении договора энергоснабжения (купли-продажи (поставки)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Поставка электрической энергии в период со дня возникновения права собственности на энергопринимающее устройство до дня заключения договора энергоснабжения (купли-продажи (поставки) электрической энергии (мощности) между гарантирующим поставщиком и новым собственником энергопринимающего устройства не является бездоговорным потреблением электрической энергии при наличии одного из следующих условий: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38" w:name="Par391"/>
      <w:bookmarkEnd w:id="38"/>
      <w:r>
        <w:rPr>
          <w:rFonts w:ascii="Arial" w:hAnsi="Arial" w:cs="Arial"/>
          <w:sz w:val="20"/>
          <w:szCs w:val="20"/>
        </w:rPr>
        <w:lastRenderedPageBreak/>
        <w:t>наличие действующего договора, обеспечивающего продажу электрической энергии (мощности), заключенного в отношении соответствующих энергопринимающих устройств между гарантирующим поставщиком, энергосбытовой (энергоснабжающей) организацией и предыдущим собственником, по которому обязательства по оплате электрической энергии (мощности) могут исполняться любым лицом;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39" w:name="Par392"/>
      <w:bookmarkEnd w:id="39"/>
      <w:r>
        <w:rPr>
          <w:rFonts w:ascii="Arial" w:hAnsi="Arial" w:cs="Arial"/>
          <w:sz w:val="20"/>
          <w:szCs w:val="20"/>
        </w:rPr>
        <w:t>обращение нового собственника энергопринимающего устройства к гарантирующему поставщику в течение 30 дней со дня перехода к нему права собственности на энергопринимающее устройство с заявлением о заключении договора энергоснабжения (купли-продажи (поставки)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Объем электрической энергии (мощности), потребленный со дня перехода права собственности на энергопринимающее устройство, определяемый по показаниям приборов учета и подлежащий оплате новым собственником энергопринимающего устройства, определяется в соответствии с </w:t>
      </w:r>
      <w:hyperlink w:anchor="Par385" w:history="1">
        <w:r>
          <w:rPr>
            <w:rFonts w:ascii="Arial" w:hAnsi="Arial" w:cs="Arial"/>
            <w:color w:val="0000FF"/>
            <w:sz w:val="20"/>
            <w:szCs w:val="20"/>
          </w:rPr>
          <w:t>абзацем семнадцатым пункта 34</w:t>
        </w:r>
      </w:hyperlink>
      <w:r>
        <w:rPr>
          <w:rFonts w:ascii="Arial" w:hAnsi="Arial" w:cs="Arial"/>
          <w:sz w:val="20"/>
          <w:szCs w:val="20"/>
        </w:rPr>
        <w:t xml:space="preserve"> настоящего документа. В случае если до истечения 30 дней со дня перехода права собственности на энергопринимающее устройство гарантирующим поставщиком не получено заявление о заключении договора энергоснабжения (купли-продажи (поставки) электрической энергии (мощности) от нового собственника энергопринимающих устройств и не соблюдено ни одно из условий, предусмотренных </w:t>
      </w:r>
      <w:hyperlink w:anchor="Par391" w:history="1">
        <w:r>
          <w:rPr>
            <w:rFonts w:ascii="Arial" w:hAnsi="Arial" w:cs="Arial"/>
            <w:color w:val="0000FF"/>
            <w:sz w:val="20"/>
            <w:szCs w:val="20"/>
          </w:rPr>
          <w:t>абзацами пятым</w:t>
        </w:r>
      </w:hyperlink>
      <w:r>
        <w:rPr>
          <w:rFonts w:ascii="Arial" w:hAnsi="Arial" w:cs="Arial"/>
          <w:sz w:val="20"/>
          <w:szCs w:val="20"/>
        </w:rPr>
        <w:t xml:space="preserve"> и </w:t>
      </w:r>
      <w:hyperlink w:anchor="Par392" w:history="1">
        <w:r>
          <w:rPr>
            <w:rFonts w:ascii="Arial" w:hAnsi="Arial" w:cs="Arial"/>
            <w:color w:val="0000FF"/>
            <w:sz w:val="20"/>
            <w:szCs w:val="20"/>
          </w:rPr>
          <w:t>шестым</w:t>
        </w:r>
      </w:hyperlink>
      <w:r>
        <w:rPr>
          <w:rFonts w:ascii="Arial" w:hAnsi="Arial" w:cs="Arial"/>
          <w:sz w:val="20"/>
          <w:szCs w:val="20"/>
        </w:rPr>
        <w:t xml:space="preserve"> настоящего пункта, потребление электрической энергии новым собственником в период со дня перехода к заявителю права собственности на энергопринимающее устройство до дня получения гарантирующим поставщиком указанного заявления считается бездоговорным потреблением, объем бездоговорного потребления определяется по показаниям приборов учета (при невозможности использования показаний прибора учета - расчетным способом учета электрической энергии (мощности) на розничных рынках электрической энергии, предусмотренным </w:t>
      </w:r>
      <w:hyperlink w:anchor="Par3621" w:history="1">
        <w:r>
          <w:rPr>
            <w:rFonts w:ascii="Arial" w:hAnsi="Arial" w:cs="Arial"/>
            <w:color w:val="0000FF"/>
            <w:sz w:val="20"/>
            <w:szCs w:val="20"/>
          </w:rPr>
          <w:t>пунктом 2</w:t>
        </w:r>
      </w:hyperlink>
      <w:r>
        <w:rPr>
          <w:rFonts w:ascii="Arial" w:hAnsi="Arial" w:cs="Arial"/>
          <w:sz w:val="20"/>
          <w:szCs w:val="20"/>
        </w:rPr>
        <w:t xml:space="preserve"> приложения N 3 к настоящему документу), а стоимость электрической энергии (мощности) в объеме выявленного бездоговорного потребления электрической энергии за весь период его осуществления рассчитывается в порядке, предусмотренном </w:t>
      </w:r>
      <w:hyperlink w:anchor="Par697" w:history="1">
        <w:r>
          <w:rPr>
            <w:rFonts w:ascii="Arial" w:hAnsi="Arial" w:cs="Arial"/>
            <w:color w:val="0000FF"/>
            <w:sz w:val="20"/>
            <w:szCs w:val="20"/>
          </w:rPr>
          <w:t>пунктом 84</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34(1) введен </w:t>
      </w:r>
      <w:hyperlink r:id="rId233"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01.04.2020 N 403)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40" w:name="Par395"/>
      <w:bookmarkEnd w:id="40"/>
      <w:r>
        <w:rPr>
          <w:rFonts w:ascii="Arial" w:hAnsi="Arial" w:cs="Arial"/>
          <w:sz w:val="20"/>
          <w:szCs w:val="20"/>
        </w:rPr>
        <w:t>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41" w:name="Par396"/>
      <w:bookmarkEnd w:id="41"/>
      <w:r>
        <w:rPr>
          <w:rFonts w:ascii="Arial" w:hAnsi="Arial" w:cs="Arial"/>
          <w:sz w:val="20"/>
          <w:szCs w:val="20"/>
        </w:rPr>
        <w:t xml:space="preserve">подписанный заявителем проект договора купли-продажи (поставки) электрической энергии (мощности) или протокол разногласий к проекту договора купли-продажи (поставки) электрической энергии (мощности), форма которого размещена (опубликована) гарантирующим поставщиком в соответствии с </w:t>
      </w:r>
      <w:hyperlink w:anchor="Par353" w:history="1">
        <w:r>
          <w:rPr>
            <w:rFonts w:ascii="Arial" w:hAnsi="Arial" w:cs="Arial"/>
            <w:color w:val="0000FF"/>
            <w:sz w:val="20"/>
            <w:szCs w:val="20"/>
          </w:rPr>
          <w:t>пунктом 33</w:t>
        </w:r>
      </w:hyperlink>
      <w:r>
        <w:rPr>
          <w:rFonts w:ascii="Arial" w:hAnsi="Arial" w:cs="Arial"/>
          <w:sz w:val="20"/>
          <w:szCs w:val="20"/>
        </w:rPr>
        <w:t xml:space="preserve"> настоящего документа (предоставляется по желанию заявителя);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42" w:name="Par397"/>
      <w:bookmarkEnd w:id="42"/>
      <w:r>
        <w:rPr>
          <w:rFonts w:ascii="Arial" w:hAnsi="Arial" w:cs="Arial"/>
          <w:sz w:val="20"/>
          <w:szCs w:val="20"/>
        </w:rPr>
        <w:t xml:space="preserve">правоустанавливающие документы, перечисленные в </w:t>
      </w:r>
      <w:hyperlink w:anchor="Par363" w:history="1">
        <w:r>
          <w:rPr>
            <w:rFonts w:ascii="Arial" w:hAnsi="Arial" w:cs="Arial"/>
            <w:color w:val="0000FF"/>
            <w:sz w:val="20"/>
            <w:szCs w:val="20"/>
          </w:rPr>
          <w:t>абзаце третьем пункта 34</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документы, содержащие описание границ балансовой принадлежности объектов электросетевого хозяйства сетевой организации, в отношении которых она намеревается приобретать электрическую энергию (мощность) в целях компенсации потерь электрической энергии, а также сведения о приборах учета, которыми они оборудованы.</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36. Документами, подтверждающими технологическое присоединение в установленном порядке к объектам электросетевого хозяйства энергопринимающих устройств, в отношении которых подано заявление о заключении договора, являются акт о технологическом присоединении, составленный и подписанный потребителем и сетевой организацией (иным владельцем объектов электросетевого хозяйства, производителем электрической энергии (мощности)), к чьим сетям (энергетическим установкам) присоединены энергопринимающие устройства потребителя, и (или) акт разграничения балансовой принадлежности электросетей.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Документом о допуске в эксплуатацию прибора учета электрической энергии является акт допуска прибора учета в эксплуатацию, составленный в соответствии с </w:t>
      </w:r>
      <w:hyperlink w:anchor="Par1220" w:history="1">
        <w:r>
          <w:rPr>
            <w:rFonts w:ascii="Arial" w:hAnsi="Arial" w:cs="Arial"/>
            <w:color w:val="0000FF"/>
            <w:sz w:val="20"/>
            <w:szCs w:val="20"/>
          </w:rPr>
          <w:t>разделом X</w:t>
        </w:r>
      </w:hyperlink>
      <w:r>
        <w:rPr>
          <w:rFonts w:ascii="Arial" w:hAnsi="Arial" w:cs="Arial"/>
          <w:sz w:val="20"/>
          <w:szCs w:val="20"/>
        </w:rPr>
        <w:t xml:space="preserve"> настоящего документа, а если допуск в эксплуатацию прибора учета был осуществлен до вступления в силу настоящего документа, то документ, который подтверждал факт допуска в эксплуатацию прибора учета, установленного в отношении соответствующей точки поставки, и был подписан гарантирующим поставщиком (энергосбытовой, энергоснабжающей организацией) и (или) сетевой организацией.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Документом, подтверждающим наличие технологической и (или) аварийной брони, является акт согласования технологической и (или) аварийной брони, составленный (измененный) и согласованный в порядке, установленном </w:t>
      </w:r>
      <w:hyperlink r:id="rId234" w:history="1">
        <w:r>
          <w:rPr>
            <w:rFonts w:ascii="Arial" w:hAnsi="Arial" w:cs="Arial"/>
            <w:color w:val="0000FF"/>
            <w:sz w:val="20"/>
            <w:szCs w:val="20"/>
          </w:rPr>
          <w:t>Правилами</w:t>
        </w:r>
      </w:hyperlink>
      <w:r>
        <w:rPr>
          <w:rFonts w:ascii="Arial" w:hAnsi="Arial" w:cs="Arial"/>
          <w:sz w:val="20"/>
          <w:szCs w:val="20"/>
        </w:rPr>
        <w:t xml:space="preserve"> недискриминационного доступа к услугам по передаче электрической энергии и оказания этих услуг, потребителем и сетевой организацией (иным владельцем объектов электросетевого хозяйства, производителем электрической энергии (мощности)), к чьим объектам электросетевого хозяйства (энергетическим установкам) присоединены энергопринимающие устройства потребителя.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если акт согласования технологической и (или) аварийной брони составлен (изменен) и согласован позднее даты заключения договора энергоснабжения (купли-продажи (поставки) электрической энергии (мощности)), то такой акт подлежит предоставлению гарантирующему поставщику в соответствии с требованиями </w:t>
      </w:r>
      <w:hyperlink w:anchor="Par431" w:history="1">
        <w:r>
          <w:rPr>
            <w:rFonts w:ascii="Arial" w:hAnsi="Arial" w:cs="Arial"/>
            <w:color w:val="0000FF"/>
            <w:sz w:val="20"/>
            <w:szCs w:val="20"/>
          </w:rPr>
          <w:t>абзаца четвертого пункта 40</w:t>
        </w:r>
      </w:hyperlink>
      <w:r>
        <w:rPr>
          <w:rFonts w:ascii="Arial" w:hAnsi="Arial" w:cs="Arial"/>
          <w:sz w:val="20"/>
          <w:szCs w:val="20"/>
        </w:rPr>
        <w:t xml:space="preserve"> и </w:t>
      </w:r>
      <w:hyperlink w:anchor="Par483" w:history="1">
        <w:r>
          <w:rPr>
            <w:rFonts w:ascii="Arial" w:hAnsi="Arial" w:cs="Arial"/>
            <w:color w:val="0000FF"/>
            <w:sz w:val="20"/>
            <w:szCs w:val="20"/>
          </w:rPr>
          <w:t>абзаца восьмого пункта 43</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43" w:name="Par403"/>
      <w:bookmarkEnd w:id="43"/>
      <w:r>
        <w:rPr>
          <w:rFonts w:ascii="Arial" w:hAnsi="Arial" w:cs="Arial"/>
          <w:sz w:val="20"/>
          <w:szCs w:val="20"/>
        </w:rPr>
        <w:t xml:space="preserve">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w:t>
      </w:r>
      <w:hyperlink w:anchor="Par363" w:history="1">
        <w:r>
          <w:rPr>
            <w:rFonts w:ascii="Arial" w:hAnsi="Arial" w:cs="Arial"/>
            <w:color w:val="0000FF"/>
            <w:sz w:val="20"/>
            <w:szCs w:val="20"/>
          </w:rPr>
          <w:t>абзацах третьем</w:t>
        </w:r>
      </w:hyperlink>
      <w:r>
        <w:rPr>
          <w:rFonts w:ascii="Arial" w:hAnsi="Arial" w:cs="Arial"/>
          <w:sz w:val="20"/>
          <w:szCs w:val="20"/>
        </w:rPr>
        <w:t xml:space="preserve"> - </w:t>
      </w:r>
      <w:hyperlink w:anchor="Par367" w:history="1">
        <w:r>
          <w:rPr>
            <w:rFonts w:ascii="Arial" w:hAnsi="Arial" w:cs="Arial"/>
            <w:color w:val="0000FF"/>
            <w:sz w:val="20"/>
            <w:szCs w:val="20"/>
          </w:rPr>
          <w:t>пятом пункта 34</w:t>
        </w:r>
      </w:hyperlink>
      <w:r>
        <w:rPr>
          <w:rFonts w:ascii="Arial" w:hAnsi="Arial" w:cs="Arial"/>
          <w:sz w:val="20"/>
          <w:szCs w:val="20"/>
        </w:rPr>
        <w:t xml:space="preserve"> или </w:t>
      </w:r>
      <w:hyperlink w:anchor="Par397" w:history="1">
        <w:r>
          <w:rPr>
            <w:rFonts w:ascii="Arial" w:hAnsi="Arial" w:cs="Arial"/>
            <w:color w:val="0000FF"/>
            <w:sz w:val="20"/>
            <w:szCs w:val="20"/>
          </w:rPr>
          <w:t>абзаце третьем пункта 35</w:t>
        </w:r>
      </w:hyperlink>
      <w:r>
        <w:rPr>
          <w:rFonts w:ascii="Arial" w:hAnsi="Arial" w:cs="Arial"/>
          <w:sz w:val="20"/>
          <w:szCs w:val="20"/>
        </w:rPr>
        <w:t xml:space="preserve"> настоящего документа, и по желанию - проект договора. Иные документы, указанные в </w:t>
      </w:r>
      <w:hyperlink w:anchor="Par360" w:history="1">
        <w:r>
          <w:rPr>
            <w:rFonts w:ascii="Arial" w:hAnsi="Arial" w:cs="Arial"/>
            <w:color w:val="0000FF"/>
            <w:sz w:val="20"/>
            <w:szCs w:val="20"/>
          </w:rPr>
          <w:t>пункте 34</w:t>
        </w:r>
      </w:hyperlink>
      <w:r>
        <w:rPr>
          <w:rFonts w:ascii="Arial" w:hAnsi="Arial" w:cs="Arial"/>
          <w:sz w:val="20"/>
          <w:szCs w:val="20"/>
        </w:rPr>
        <w:t xml:space="preserve"> или в </w:t>
      </w:r>
      <w:hyperlink w:anchor="Par395" w:history="1">
        <w:r>
          <w:rPr>
            <w:rFonts w:ascii="Arial" w:hAnsi="Arial" w:cs="Arial"/>
            <w:color w:val="0000FF"/>
            <w:sz w:val="20"/>
            <w:szCs w:val="20"/>
          </w:rPr>
          <w:t>пункте 35</w:t>
        </w:r>
      </w:hyperlink>
      <w:r>
        <w:rPr>
          <w:rFonts w:ascii="Arial" w:hAnsi="Arial" w:cs="Arial"/>
          <w:sz w:val="20"/>
          <w:szCs w:val="20"/>
        </w:rPr>
        <w:t xml:space="preserve"> настоящего документа, заявитель представляет только в том случае, если они не были ранее предоставлены гарантирующему поставщику или в них были внесены изменения после их предоставления гарантирующему поставщику при заключении предыдущего договора. В этом случае при заключении договора гарантирующий поставщик использует документы, имеющиеся у него в отношении соответствующей точки поставки потребителя.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Заявитель, в случае если сетевая организация или иной владелец объектов электросетевого хозяйства, к которым присоединены энергопринимающие устройства, в отношении которых подано заявление о заключении договора, отказывается или уклоняется от составления и предоставления заявителю документов, подтверждающих технологическое присоединение и (или) разграничение балансовой принадлежности, направляет гарантирующему поставщику заявление о заключении договора с приложением к нему документов, имеющихся у заявителя на дату направления заявления, а также документов, подтверждающих факт обращения заявителя к сетевой организации или иному владельцу объектов электросетевого хозяйства в целях получения таких документов. При отсутствии документов, подтверждающих технологическое присоединение в установленном порядке к электрическим сетям энергопринимающих устройств, в отношении которых подано заявление о заключении договора, и (или) разграничение балансовой принадлежности, гарантирующий поставщик не вправе отказать заявителю в заключении договора энергоснабжения (купли-продажи (поставки) электрической энергии (мощности)) и вправе самостоятельно запрашивать и безвозмездно получать недостающие документы и информацию у сетевой организации или иного владельца объектов электросетевого хозяйства, к которым присоединены указанные энергопринимающие устройства.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38. Документы, указанные в </w:t>
      </w:r>
      <w:hyperlink w:anchor="Par360" w:history="1">
        <w:r>
          <w:rPr>
            <w:rFonts w:ascii="Arial" w:hAnsi="Arial" w:cs="Arial"/>
            <w:color w:val="0000FF"/>
            <w:sz w:val="20"/>
            <w:szCs w:val="20"/>
          </w:rPr>
          <w:t>пунктах 34</w:t>
        </w:r>
      </w:hyperlink>
      <w:r>
        <w:rPr>
          <w:rFonts w:ascii="Arial" w:hAnsi="Arial" w:cs="Arial"/>
          <w:sz w:val="20"/>
          <w:szCs w:val="20"/>
        </w:rPr>
        <w:t xml:space="preserve"> и </w:t>
      </w:r>
      <w:hyperlink w:anchor="Par395" w:history="1">
        <w:r>
          <w:rPr>
            <w:rFonts w:ascii="Arial" w:hAnsi="Arial" w:cs="Arial"/>
            <w:color w:val="0000FF"/>
            <w:sz w:val="20"/>
            <w:szCs w:val="20"/>
          </w:rPr>
          <w:t>35</w:t>
        </w:r>
      </w:hyperlink>
      <w:r>
        <w:rPr>
          <w:rFonts w:ascii="Arial" w:hAnsi="Arial" w:cs="Arial"/>
          <w:sz w:val="20"/>
          <w:szCs w:val="20"/>
        </w:rPr>
        <w:t xml:space="preserve"> настоящего документа, прилагаемые к направляемому гарантирующему поставщику заявлению о заключении договора, кроме проекта договора, подаются в виде копий, подписанных уполномоченным лицом заявителя и заверенных печатью заявителя (при наличии печати), если заявителем является юридическое лицо, или подписанных гражданином, если заявителем выступает индивидуальный предприниматель.</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235"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Заявитель вправе представить копии таких документов, заверенные лицом, уполномоченным в соответствии с законодательством Российской Федерации на совершение действий по их заверению.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Заявитель при подаче заявления и документов в месте нахождения гарантирующего поставщика вправе представить неподписанные и незаверенные копии документов, прилагаемых к заявлению, с одновременным предъявлением оригиналов таких документов. В этом случае в момент принятия заявления и документов от заявителя гарантирующий поставщик обязан произвести сверку идентичности копий и оригиналов представленных документов, после чего на копиях таких документов гарантирующим поставщиком делаются отметки о соответствии подлинности копий документов оригиналам и оригиналы возвращаются заявителю.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44" w:name="Par409"/>
      <w:bookmarkEnd w:id="44"/>
      <w:r>
        <w:rPr>
          <w:rFonts w:ascii="Arial" w:hAnsi="Arial" w:cs="Arial"/>
          <w:sz w:val="20"/>
          <w:szCs w:val="20"/>
        </w:rPr>
        <w:t xml:space="preserve">39. В течение 30 дней со дня получения заявления о заключении договора энергоснабжения (купли-продажи (поставки) электрической энергии (мощности)) и документов, прилагаемых к заявлению о заключении соответствующего договора согласно настоящему документу, если при этом заявителем не </w:t>
      </w:r>
      <w:r>
        <w:rPr>
          <w:rFonts w:ascii="Arial" w:hAnsi="Arial" w:cs="Arial"/>
          <w:sz w:val="20"/>
          <w:szCs w:val="20"/>
        </w:rPr>
        <w:lastRenderedPageBreak/>
        <w:t xml:space="preserve">представлен проект договора, указанный в </w:t>
      </w:r>
      <w:hyperlink w:anchor="Par362" w:history="1">
        <w:r>
          <w:rPr>
            <w:rFonts w:ascii="Arial" w:hAnsi="Arial" w:cs="Arial"/>
            <w:color w:val="0000FF"/>
            <w:sz w:val="20"/>
            <w:szCs w:val="20"/>
          </w:rPr>
          <w:t>абзаце втором пункта 34</w:t>
        </w:r>
      </w:hyperlink>
      <w:r>
        <w:rPr>
          <w:rFonts w:ascii="Arial" w:hAnsi="Arial" w:cs="Arial"/>
          <w:sz w:val="20"/>
          <w:szCs w:val="20"/>
        </w:rPr>
        <w:t xml:space="preserve"> и </w:t>
      </w:r>
      <w:hyperlink w:anchor="Par396" w:history="1">
        <w:r>
          <w:rPr>
            <w:rFonts w:ascii="Arial" w:hAnsi="Arial" w:cs="Arial"/>
            <w:color w:val="0000FF"/>
            <w:sz w:val="20"/>
            <w:szCs w:val="20"/>
          </w:rPr>
          <w:t>абзаце втором пункта 35</w:t>
        </w:r>
      </w:hyperlink>
      <w:r>
        <w:rPr>
          <w:rFonts w:ascii="Arial" w:hAnsi="Arial" w:cs="Arial"/>
          <w:sz w:val="20"/>
          <w:szCs w:val="20"/>
        </w:rPr>
        <w:t xml:space="preserve"> настоящего документа, гарантирующий поставщик, в случае если отсутствуют указанные в </w:t>
      </w:r>
      <w:hyperlink w:anchor="Par346" w:history="1">
        <w:r>
          <w:rPr>
            <w:rFonts w:ascii="Arial" w:hAnsi="Arial" w:cs="Arial"/>
            <w:color w:val="0000FF"/>
            <w:sz w:val="20"/>
            <w:szCs w:val="20"/>
          </w:rPr>
          <w:t>пункте 32</w:t>
        </w:r>
      </w:hyperlink>
      <w:r>
        <w:rPr>
          <w:rFonts w:ascii="Arial" w:hAnsi="Arial" w:cs="Arial"/>
          <w:sz w:val="20"/>
          <w:szCs w:val="20"/>
        </w:rPr>
        <w:t xml:space="preserve"> настоящего документа основания для отказа от заключения договора, направляет (передает) заявителю подписанный со своей стороны проект договора по форме, которая размещена (опубликована) гарантирующим поставщиком в соответствии с </w:t>
      </w:r>
      <w:hyperlink w:anchor="Par353" w:history="1">
        <w:r>
          <w:rPr>
            <w:rFonts w:ascii="Arial" w:hAnsi="Arial" w:cs="Arial"/>
            <w:color w:val="0000FF"/>
            <w:sz w:val="20"/>
            <w:szCs w:val="20"/>
          </w:rPr>
          <w:t>пунктом 33</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Заявитель, получивший от гарантирующего поставщика проект договора и не имеющий возражений по его условиям, заполняет договор в части, относящейся к сведениям о потребителе (покупателе) путем их включения в договор, а также в части тех условий договора, которые включены в проект договора в виде описания исчерпывающего перечня вариантов их применения путем выбора варианта, из числа относящихся к заявителю, который он считает для себя наиболее приемлемым. Один подписанный экземпляр договора заявитель направляет гарантирующему поставщику.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несогласии заявителя с условиями, содержащимися в полученном от гарантирующего поставщика проекте договора, он вправе направить гарантирующему поставщику протокол разногласий к проекту договора. Гарантирующий поставщик в течение 10 рабочих дней со дня получения от заявителя указанного протокола разногласий подписывает договор в редакции заявителя либо принимает меры по урегулированию разногласий и подписывает договор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такого отказа. При отклонении протокола разногласий либо неполучении заявителем от гарантирующего поставщика извещения о результатах его рассмотрения в указанный срок заявитель вправе передать разногласия, возникшие при заключении договора, на рассмотрение в суд.</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Если заявителем вместе с заявлением о заключении договора энергоснабжения (купли-продажи (поставки) электрической энергии (мощности)) и документами, указанными в настоящем документе, представлен подписанный заявителем проект договора, размещенный (опубликованный) гарантирующим поставщиком в соответствии с </w:t>
      </w:r>
      <w:hyperlink w:anchor="Par353" w:history="1">
        <w:r>
          <w:rPr>
            <w:rFonts w:ascii="Arial" w:hAnsi="Arial" w:cs="Arial"/>
            <w:color w:val="0000FF"/>
            <w:sz w:val="20"/>
            <w:szCs w:val="20"/>
          </w:rPr>
          <w:t>пунктом 33</w:t>
        </w:r>
      </w:hyperlink>
      <w:r>
        <w:rPr>
          <w:rFonts w:ascii="Arial" w:hAnsi="Arial" w:cs="Arial"/>
          <w:sz w:val="20"/>
          <w:szCs w:val="20"/>
        </w:rPr>
        <w:t xml:space="preserve"> настоящего документа, то гарантирующий поставщик, если отсутствуют указанные в </w:t>
      </w:r>
      <w:hyperlink w:anchor="Par346" w:history="1">
        <w:r>
          <w:rPr>
            <w:rFonts w:ascii="Arial" w:hAnsi="Arial" w:cs="Arial"/>
            <w:color w:val="0000FF"/>
            <w:sz w:val="20"/>
            <w:szCs w:val="20"/>
          </w:rPr>
          <w:t>пункте 32</w:t>
        </w:r>
      </w:hyperlink>
      <w:r>
        <w:rPr>
          <w:rFonts w:ascii="Arial" w:hAnsi="Arial" w:cs="Arial"/>
          <w:sz w:val="20"/>
          <w:szCs w:val="20"/>
        </w:rPr>
        <w:t xml:space="preserve"> настоящего документа основания для отказа от заключения договора, в течение 30 дней со дня получения заявления подписывает и передает заявителю один экземпляр представленного заявителем договора.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Если заявителем вместе с заявлением о заключении договора энергоснабжения (купли-продажи (поставки) электрической энергии (мощности)) и документами, указанными в настоящем документе, представлен протокол разногласий к проекту договора, размещенному (опубликованному) гарантирующим поставщиком в соответствии с </w:t>
      </w:r>
      <w:hyperlink w:anchor="Par353" w:history="1">
        <w:r>
          <w:rPr>
            <w:rFonts w:ascii="Arial" w:hAnsi="Arial" w:cs="Arial"/>
            <w:color w:val="0000FF"/>
            <w:sz w:val="20"/>
            <w:szCs w:val="20"/>
          </w:rPr>
          <w:t>пунктом 33</w:t>
        </w:r>
      </w:hyperlink>
      <w:r>
        <w:rPr>
          <w:rFonts w:ascii="Arial" w:hAnsi="Arial" w:cs="Arial"/>
          <w:sz w:val="20"/>
          <w:szCs w:val="20"/>
        </w:rPr>
        <w:t xml:space="preserve"> настоящего документа, то гарантирующий поставщик, если отсутствуют указанные в </w:t>
      </w:r>
      <w:hyperlink w:anchor="Par346" w:history="1">
        <w:r>
          <w:rPr>
            <w:rFonts w:ascii="Arial" w:hAnsi="Arial" w:cs="Arial"/>
            <w:color w:val="0000FF"/>
            <w:sz w:val="20"/>
            <w:szCs w:val="20"/>
          </w:rPr>
          <w:t>пункте 32</w:t>
        </w:r>
      </w:hyperlink>
      <w:r>
        <w:rPr>
          <w:rFonts w:ascii="Arial" w:hAnsi="Arial" w:cs="Arial"/>
          <w:sz w:val="20"/>
          <w:szCs w:val="20"/>
        </w:rPr>
        <w:t xml:space="preserve"> настоящего документа основания для отказа от заключения договора, в течение 30 дней со дня получения заявления подписывает и передает заявителю договор в редакции заявителя, либо принимает меры по урегулированию разногласий и подписывает договор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такого отказа. При отклонении протокола разногласий либо неполучении заявителем от гарантирующего поставщика извещения о результатах его рассмотрения в указанный срок заявитель вправе передать разногласия, возникшие при заключении договора, на рассмотрение суда.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отсутствии в представленных заявителем документах обязательных сведений, определенных в настоящем документе, или при непредставлении заявителем документов, указанных в </w:t>
      </w:r>
      <w:hyperlink w:anchor="Par360" w:history="1">
        <w:r>
          <w:rPr>
            <w:rFonts w:ascii="Arial" w:hAnsi="Arial" w:cs="Arial"/>
            <w:color w:val="0000FF"/>
            <w:sz w:val="20"/>
            <w:szCs w:val="20"/>
          </w:rPr>
          <w:t>пунктах 34</w:t>
        </w:r>
      </w:hyperlink>
      <w:r>
        <w:rPr>
          <w:rFonts w:ascii="Arial" w:hAnsi="Arial" w:cs="Arial"/>
          <w:sz w:val="20"/>
          <w:szCs w:val="20"/>
        </w:rPr>
        <w:t xml:space="preserve"> и </w:t>
      </w:r>
      <w:hyperlink w:anchor="Par395" w:history="1">
        <w:r>
          <w:rPr>
            <w:rFonts w:ascii="Arial" w:hAnsi="Arial" w:cs="Arial"/>
            <w:color w:val="0000FF"/>
            <w:sz w:val="20"/>
            <w:szCs w:val="20"/>
          </w:rPr>
          <w:t>35</w:t>
        </w:r>
      </w:hyperlink>
      <w:r>
        <w:rPr>
          <w:rFonts w:ascii="Arial" w:hAnsi="Arial" w:cs="Arial"/>
          <w:sz w:val="20"/>
          <w:szCs w:val="20"/>
        </w:rPr>
        <w:t xml:space="preserve"> настоящего документа, которые должны быть приложены к заявлению о заключении договора с гарантирующим поставщиком, за исключением документов, которые в случаях, предусмотренных </w:t>
      </w:r>
      <w:hyperlink w:anchor="Par387" w:history="1">
        <w:r>
          <w:rPr>
            <w:rFonts w:ascii="Arial" w:hAnsi="Arial" w:cs="Arial"/>
            <w:color w:val="0000FF"/>
            <w:sz w:val="20"/>
            <w:szCs w:val="20"/>
          </w:rPr>
          <w:t>пунктами 34(1)</w:t>
        </w:r>
      </w:hyperlink>
      <w:r>
        <w:rPr>
          <w:rFonts w:ascii="Arial" w:hAnsi="Arial" w:cs="Arial"/>
          <w:sz w:val="20"/>
          <w:szCs w:val="20"/>
        </w:rPr>
        <w:t xml:space="preserve"> и </w:t>
      </w:r>
      <w:hyperlink w:anchor="Par403" w:history="1">
        <w:r>
          <w:rPr>
            <w:rFonts w:ascii="Arial" w:hAnsi="Arial" w:cs="Arial"/>
            <w:color w:val="0000FF"/>
            <w:sz w:val="20"/>
            <w:szCs w:val="20"/>
          </w:rPr>
          <w:t>37</w:t>
        </w:r>
      </w:hyperlink>
      <w:r>
        <w:rPr>
          <w:rFonts w:ascii="Arial" w:hAnsi="Arial" w:cs="Arial"/>
          <w:sz w:val="20"/>
          <w:szCs w:val="20"/>
        </w:rPr>
        <w:t xml:space="preserve"> настоящего документа, не подлежат предоставлению, гарантирующий поставщик в течение 5 рабочих дней со дня получения заявления о заключении договора энергоснабжения (купли-продажи (поставки) электрической энергии (мощности)) уведомляет об отсутствующих сведениях или документах заявителя и в течение 30 дней со дня получения от заявителя недостающих сведений или документов обязан рассмотреть заявление о заключении договора в соответствии с настоящим пунктом.</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236"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01.04.2020 N 403)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Гарантирующий поставщик, получивший протокол разногласий, но не принявший меры по урегулированию указанных разногласий и (или) не направивший заявителю мотивированный отказ от внесения предложенных изменений в проект договора в установленный срок, обязан в соответствии с законодательством Российской Федерации возместить заявителю понесенные им убытки, вызванные уклонением от заключения договора, что не освобождает гарантирующего поставщика от обязанности заключить договор. В таком случае заявитель вправе требовать понуждения гарантирующего поставщика к </w:t>
      </w:r>
      <w:r>
        <w:rPr>
          <w:rFonts w:ascii="Arial" w:hAnsi="Arial" w:cs="Arial"/>
          <w:sz w:val="20"/>
          <w:szCs w:val="20"/>
        </w:rPr>
        <w:lastRenderedPageBreak/>
        <w:t>заключению договора и (или) возмещения причиненных убытков в установленном законодательством Российской Федерации порядке.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45" w:name="Par417"/>
      <w:bookmarkEnd w:id="45"/>
      <w:r>
        <w:rPr>
          <w:rFonts w:ascii="Arial" w:hAnsi="Arial" w:cs="Arial"/>
          <w:sz w:val="20"/>
          <w:szCs w:val="20"/>
        </w:rPr>
        <w:t xml:space="preserve">39(1). Гарантирующий поставщик, указанный в заявке на осуществление технологического присоединения, с которым заявитель намеревается заключить договор энергоснабжения (купли-продажи (поставки) электрической энергии (мощности)) в отношении энергопринимающих устройств, технологическое присоединение которых осуществляется, обязан не позднее 7 рабочих дней со дня получения от сетевой организации документов заявителя, предусмотренных </w:t>
      </w:r>
      <w:hyperlink r:id="rId237" w:history="1">
        <w:r>
          <w:rPr>
            <w:rFonts w:ascii="Arial" w:hAnsi="Arial" w:cs="Arial"/>
            <w:color w:val="0000FF"/>
            <w:sz w:val="20"/>
            <w:szCs w:val="20"/>
          </w:rPr>
          <w:t>пунктом 10</w:t>
        </w:r>
      </w:hyperlink>
      <w:r>
        <w:rPr>
          <w:rFonts w:ascii="Arial" w:hAnsi="Arial" w:cs="Arial"/>
          <w:sz w:val="20"/>
          <w:szCs w:val="20"/>
        </w:rPr>
        <w:t xml:space="preserve"> Правил технологического присоединения, за исключением заявителей, в отношении которых в соответствии с </w:t>
      </w:r>
      <w:hyperlink w:anchor="Par651" w:history="1">
        <w:r>
          <w:rPr>
            <w:rFonts w:ascii="Arial" w:hAnsi="Arial" w:cs="Arial"/>
            <w:color w:val="0000FF"/>
            <w:sz w:val="20"/>
            <w:szCs w:val="20"/>
          </w:rPr>
          <w:t>пунктом 72</w:t>
        </w:r>
      </w:hyperlink>
      <w:r>
        <w:rPr>
          <w:rFonts w:ascii="Arial" w:hAnsi="Arial" w:cs="Arial"/>
          <w:sz w:val="20"/>
          <w:szCs w:val="20"/>
        </w:rPr>
        <w:t xml:space="preserve"> настоящего документа действие договора энергоснабжения купли-продажи (поставки) электрической энергии (мощности) между гарантирующим поставщиком и таким заявителем не ставится в зависимость от факта составления документа, подписанного сторонами, направить в адрес сетевой организации подписанный со своей стороны проект договора энергоснабжения (купли-продажи (поставки) электрической энергии (мощности)), предусматривающий право выбора ценовой категории, условий почасового планирования потребления электрической энергии и иные существенные условия, предусмотренные настоящим документом (дополнительного соглашения к договору), если проект такого договора, подписанного со стороны заявителя, отсутствовал в составе комплекта документов, представленных сетевой организацией, неотъемлемой частью которого после завершения процедуры технологического присоединения являются установленные документами о технологическом присоединении условия из числа существенных условий договора энергоснабжения (купли-продажи (поставки) электрической энергии (мощности)), определенных в </w:t>
      </w:r>
      <w:hyperlink r:id="rId238" w:history="1">
        <w:r>
          <w:rPr>
            <w:rFonts w:ascii="Arial" w:hAnsi="Arial" w:cs="Arial"/>
            <w:color w:val="0000FF"/>
            <w:sz w:val="20"/>
            <w:szCs w:val="20"/>
          </w:rPr>
          <w:t>Правилах</w:t>
        </w:r>
      </w:hyperlink>
      <w:r>
        <w:rPr>
          <w:rFonts w:ascii="Arial" w:hAnsi="Arial" w:cs="Arial"/>
          <w:sz w:val="20"/>
          <w:szCs w:val="20"/>
        </w:rPr>
        <w:t xml:space="preserve"> недискриминационного доступа к услугам по передаче электрической энергии и оказания этих услуг и настоящем документе. В случае когда к заявке на технологическое присоединение энергопринимающих устройств приложен 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w:t>
      </w:r>
      <w:hyperlink w:anchor="Par353" w:history="1">
        <w:r>
          <w:rPr>
            <w:rFonts w:ascii="Arial" w:hAnsi="Arial" w:cs="Arial"/>
            <w:color w:val="0000FF"/>
            <w:sz w:val="20"/>
            <w:szCs w:val="20"/>
          </w:rPr>
          <w:t>пунктом 33</w:t>
        </w:r>
      </w:hyperlink>
      <w:r>
        <w:rPr>
          <w:rFonts w:ascii="Arial" w:hAnsi="Arial" w:cs="Arial"/>
          <w:sz w:val="20"/>
          <w:szCs w:val="20"/>
        </w:rPr>
        <w:t xml:space="preserve"> настоящего документа, по которому у гарантирующего поставщика отсутствуют возражения, то гарантирующий поставщик в порядке, предусмотренном </w:t>
      </w:r>
      <w:hyperlink w:anchor="Par417" w:history="1">
        <w:r>
          <w:rPr>
            <w:rFonts w:ascii="Arial" w:hAnsi="Arial" w:cs="Arial"/>
            <w:color w:val="0000FF"/>
            <w:sz w:val="20"/>
            <w:szCs w:val="20"/>
          </w:rPr>
          <w:t>абзацем первым</w:t>
        </w:r>
      </w:hyperlink>
      <w:r>
        <w:rPr>
          <w:rFonts w:ascii="Arial" w:hAnsi="Arial" w:cs="Arial"/>
          <w:sz w:val="20"/>
          <w:szCs w:val="20"/>
        </w:rPr>
        <w:t xml:space="preserve"> настоящего пункта, направляет в адрес сетевой организации один экземпляр подписанного со своей стороны договора или протокола разногласий соответственно.</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Постановлений Правительства РФ от 11.05.2017 </w:t>
      </w:r>
      <w:hyperlink r:id="rId239" w:history="1">
        <w:r>
          <w:rPr>
            <w:rFonts w:ascii="Arial" w:hAnsi="Arial" w:cs="Arial"/>
            <w:color w:val="0000FF"/>
            <w:sz w:val="20"/>
            <w:szCs w:val="20"/>
          </w:rPr>
          <w:t>N 557</w:t>
        </w:r>
      </w:hyperlink>
      <w:r>
        <w:rPr>
          <w:rFonts w:ascii="Arial" w:hAnsi="Arial" w:cs="Arial"/>
          <w:sz w:val="20"/>
          <w:szCs w:val="20"/>
        </w:rPr>
        <w:t xml:space="preserve">, от 10.03.2020 </w:t>
      </w:r>
      <w:hyperlink r:id="rId240" w:history="1">
        <w:r>
          <w:rPr>
            <w:rFonts w:ascii="Arial" w:hAnsi="Arial" w:cs="Arial"/>
            <w:color w:val="0000FF"/>
            <w:sz w:val="20"/>
            <w:szCs w:val="20"/>
          </w:rPr>
          <w:t>N 262</w:t>
        </w:r>
      </w:hyperlink>
      <w:r>
        <w:rPr>
          <w:rFonts w:ascii="Arial" w:hAnsi="Arial" w:cs="Arial"/>
          <w:sz w:val="20"/>
          <w:szCs w:val="20"/>
        </w:rPr>
        <w:t xml:space="preserve">, от 01.04.2020 </w:t>
      </w:r>
      <w:hyperlink r:id="rId241" w:history="1">
        <w:r>
          <w:rPr>
            <w:rFonts w:ascii="Arial" w:hAnsi="Arial" w:cs="Arial"/>
            <w:color w:val="0000FF"/>
            <w:sz w:val="20"/>
            <w:szCs w:val="20"/>
          </w:rPr>
          <w:t>N 403</w:t>
        </w:r>
      </w:hyperlink>
      <w:r>
        <w:rPr>
          <w:rFonts w:ascii="Arial" w:hAnsi="Arial" w:cs="Arial"/>
          <w:sz w:val="20"/>
          <w:szCs w:val="20"/>
        </w:rPr>
        <w:t xml:space="preserve">, от 18.04.2020 </w:t>
      </w:r>
      <w:hyperlink r:id="rId242" w:history="1">
        <w:r>
          <w:rPr>
            <w:rFonts w:ascii="Arial" w:hAnsi="Arial" w:cs="Arial"/>
            <w:color w:val="0000FF"/>
            <w:sz w:val="20"/>
            <w:szCs w:val="20"/>
          </w:rPr>
          <w:t>N 554</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непредставлении сетевой организацией документов заявителя, предусмотренных </w:t>
      </w:r>
      <w:hyperlink r:id="rId243" w:history="1">
        <w:r>
          <w:rPr>
            <w:rFonts w:ascii="Arial" w:hAnsi="Arial" w:cs="Arial"/>
            <w:color w:val="0000FF"/>
            <w:sz w:val="20"/>
            <w:szCs w:val="20"/>
          </w:rPr>
          <w:t>пунктом 10</w:t>
        </w:r>
      </w:hyperlink>
      <w:r>
        <w:rPr>
          <w:rFonts w:ascii="Arial" w:hAnsi="Arial" w:cs="Arial"/>
          <w:sz w:val="20"/>
          <w:szCs w:val="20"/>
        </w:rP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гарантирующий поставщик в течение 3 рабочих дней со дня получения от сетевой организации документов заявителя уведомляет сетевую организацию об отсутствующих документах заявителя и в течение 5 рабочих дней со дня получения недостающих документов направляет сетевой организации 2 экземпляра подписанного со своей стороны проекта договора, обеспечивающего продажу заявителю электрической энергии (мощности), в соответствии с видом такого договора, указанным в заявке на осуществление технологического присоединения.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244"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01.04.2020 N 403)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уведомлении гарантирующим поставщиком сетевой организации об отсутствии в представленных сетевой организацией документах обязательных сведений, определенных в настоящем документе, или при непредставлении сетевой организацией документов, которые должны быть приложены к заявлению о заключении договора с гарантирующим поставщиком, сетевая организация в течение 2 рабочих дней со дня получения соответствующего уведомления от гарантирующего поставщика сообщает заявителю об отсутствующих сведениях или документах и передает их гарантирующему поставщику в течение 2 рабочих дней со дня представления заявителем недостающих сведений или документов в сетевую организацию.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получения от сетевой организации подписанного заявителем проекта договора энергоснабжения (купли-продажи (поставки) электрической энергии (мощности)) или протокола разногласий к форме договора, размещенной на официальном сайте гарантирующего поставщика, по которому у гарантирующего поставщика имеются возражения, а также при наличии разногласий сторон по содержанию документов, указанных в настоящем пункте, согласование условий договора осуществляется непосредственно между заявителем и гарантирующим поставщиком, с которым заявитель намерен заключить указанный договор, в порядке, предусмотренном </w:t>
      </w:r>
      <w:hyperlink w:anchor="Par409" w:history="1">
        <w:r>
          <w:rPr>
            <w:rFonts w:ascii="Arial" w:hAnsi="Arial" w:cs="Arial"/>
            <w:color w:val="0000FF"/>
            <w:sz w:val="20"/>
            <w:szCs w:val="20"/>
          </w:rPr>
          <w:t>пунктом 39</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Потребление электрической энергии энергопринимающими устройствами заявителя, которое началось до завершения мероприятий по технологическому присоединению, в отсутствие заключенного договора, обеспечивающего продажу электрической энергии (мощности) на розничных рынках, в случае указания заявителем в заявке на осуществление технологического присоединения информации о субъекте розничного рынка, с которым планируется заключение договора энергоснабжения (купли-продажи (поставки) электрической энергии (мощности), до момента заключения соответствующего договора энергоснабжения (купли-продажи (поставки) электрической энергии (мощности) при условии соблюдения заявителем срока, предусмотренного </w:t>
      </w:r>
      <w:hyperlink r:id="rId245" w:history="1">
        <w:r>
          <w:rPr>
            <w:rFonts w:ascii="Arial" w:hAnsi="Arial" w:cs="Arial"/>
            <w:color w:val="0000FF"/>
            <w:sz w:val="20"/>
            <w:szCs w:val="20"/>
          </w:rPr>
          <w:t>абзацем пятым пункта 19(1)</w:t>
        </w:r>
      </w:hyperlink>
      <w:r>
        <w:rPr>
          <w:rFonts w:ascii="Arial" w:hAnsi="Arial" w:cs="Arial"/>
          <w:sz w:val="20"/>
          <w:szCs w:val="20"/>
        </w:rP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не является бездоговорным потреблением. Объем такого потребления подлежит оплате заявителем после заключения соответствующего договора энергоснабжения (купли-продажи (поставки) электрической энергии (мощности).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246"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01.04.2020 N 403)</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39(1) введен </w:t>
      </w:r>
      <w:hyperlink r:id="rId247"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22.02.2016 N 128)</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39(2). В случае выявления гарантирующим поставщиком бездоговорного потребления электрической энергии, предусмотренного абзацем седьмым </w:t>
      </w:r>
      <w:hyperlink r:id="rId248" w:history="1">
        <w:r>
          <w:rPr>
            <w:rFonts w:ascii="Arial" w:hAnsi="Arial" w:cs="Arial"/>
            <w:color w:val="0000FF"/>
            <w:sz w:val="20"/>
            <w:szCs w:val="20"/>
          </w:rPr>
          <w:t>пункта 19(1)</w:t>
        </w:r>
      </w:hyperlink>
      <w:r>
        <w:rPr>
          <w:rFonts w:ascii="Arial" w:hAnsi="Arial" w:cs="Arial"/>
          <w:sz w:val="20"/>
          <w:szCs w:val="20"/>
        </w:rP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указанный гарантирующий поставщик уведомляет сетевую организацию о факте выявления им бездоговорного потребления в соответствии с </w:t>
      </w:r>
      <w:hyperlink r:id="rId249" w:history="1">
        <w:r>
          <w:rPr>
            <w:rFonts w:ascii="Arial" w:hAnsi="Arial" w:cs="Arial"/>
            <w:color w:val="0000FF"/>
            <w:sz w:val="20"/>
            <w:szCs w:val="20"/>
          </w:rPr>
          <w:t>пунктом 19(1)</w:t>
        </w:r>
      </w:hyperlink>
      <w:r>
        <w:rPr>
          <w:rFonts w:ascii="Arial" w:hAnsi="Arial" w:cs="Arial"/>
          <w:sz w:val="20"/>
          <w:szCs w:val="20"/>
        </w:rP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39(2) введен </w:t>
      </w:r>
      <w:hyperlink r:id="rId250"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01.04.2020 N 403)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46" w:name="Par428"/>
      <w:bookmarkEnd w:id="46"/>
      <w:r>
        <w:rPr>
          <w:rFonts w:ascii="Arial" w:hAnsi="Arial" w:cs="Arial"/>
          <w:sz w:val="20"/>
          <w:szCs w:val="20"/>
        </w:rPr>
        <w:t>40. Существенными условиями договора купли-продажи (поставки) электрической энергии (мощности) являются: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47" w:name="Par429"/>
      <w:bookmarkEnd w:id="47"/>
      <w:r>
        <w:rPr>
          <w:rFonts w:ascii="Arial" w:hAnsi="Arial" w:cs="Arial"/>
          <w:sz w:val="20"/>
          <w:szCs w:val="20"/>
        </w:rPr>
        <w:t>предмет договора;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48" w:name="Par430"/>
      <w:bookmarkEnd w:id="48"/>
      <w:r>
        <w:rPr>
          <w:rFonts w:ascii="Arial" w:hAnsi="Arial" w:cs="Arial"/>
          <w:sz w:val="20"/>
          <w:szCs w:val="20"/>
        </w:rPr>
        <w:t>дата и время начала исполнения обязательств по договору;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49" w:name="Par431"/>
      <w:bookmarkEnd w:id="49"/>
      <w:r>
        <w:rPr>
          <w:rFonts w:ascii="Arial" w:hAnsi="Arial" w:cs="Arial"/>
          <w:sz w:val="20"/>
          <w:szCs w:val="20"/>
        </w:rPr>
        <w:t xml:space="preserve">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w:t>
      </w:r>
      <w:hyperlink r:id="rId251" w:history="1">
        <w:r>
          <w:rPr>
            <w:rFonts w:ascii="Arial" w:hAnsi="Arial" w:cs="Arial"/>
            <w:color w:val="0000FF"/>
            <w:sz w:val="20"/>
            <w:szCs w:val="20"/>
          </w:rPr>
          <w:t>Правилами</w:t>
        </w:r>
      </w:hyperlink>
      <w:r>
        <w:rPr>
          <w:rFonts w:ascii="Arial" w:hAnsi="Arial" w:cs="Arial"/>
          <w:sz w:val="20"/>
          <w:szCs w:val="20"/>
        </w:rPr>
        <w:t xml:space="preserve"> недискриминационного доступа к услугам по передаче электрической энергии и оказания этих услуг и уведомить гарантирующего поставщика о дате заключения такого договора оказания услуг по передаче электрической энергии, а также 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относящегося к категориям, определенным в приложении к Правилам полного и (или) частичного ограничения режима потребления электрической энергии, а также потребителя электрической энергии, энергопринимающие устройства которого отнесены к первой категории надежности, передать гарантирующему поставщику не позднее 5 дней после дня согласования копию акта согласования технологической и (или) аварийной брони, составленного (измененного) и согласованного в установленном порядке с сетевой организацией после заключения договора купли-продажи (поставки) электрической энергии (мощности);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252"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17.09.2018 N 1096)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50" w:name="Par433"/>
      <w:bookmarkEnd w:id="50"/>
      <w:r>
        <w:rPr>
          <w:rFonts w:ascii="Arial" w:hAnsi="Arial" w:cs="Arial"/>
          <w:sz w:val="20"/>
          <w:szCs w:val="20"/>
        </w:rPr>
        <w:t>точка (точки) поставки по договору;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51" w:name="Par434"/>
      <w:bookmarkEnd w:id="51"/>
      <w:r>
        <w:rPr>
          <w:rFonts w:ascii="Arial" w:hAnsi="Arial" w:cs="Arial"/>
          <w:sz w:val="20"/>
          <w:szCs w:val="20"/>
        </w:rPr>
        <w:t>требования к качеству поставляемой электрической энергии, которые должны соответствовать требованиям законодательства Российской Федерации;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соответствующий настоящему документу порядок определения объема покупки электрической энергии (мощности) по договору за расчетный период;</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соответствующий настоящему документу порядок определения стоимости поставленной по договору за расчетный период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52" w:name="Par437"/>
      <w:bookmarkEnd w:id="52"/>
      <w:r>
        <w:rPr>
          <w:rFonts w:ascii="Arial" w:hAnsi="Arial" w:cs="Arial"/>
          <w:sz w:val="20"/>
          <w:szCs w:val="20"/>
        </w:rPr>
        <w:lastRenderedPageBreak/>
        <w:t xml:space="preserve">условия о порядке учета электрической энергии (мощности) с использованием приборов учета и порядке взаимодействия сторон договора в процессе такого учета, указанные в </w:t>
      </w:r>
      <w:hyperlink w:anchor="Par456" w:history="1">
        <w:r>
          <w:rPr>
            <w:rFonts w:ascii="Arial" w:hAnsi="Arial" w:cs="Arial"/>
            <w:color w:val="0000FF"/>
            <w:sz w:val="20"/>
            <w:szCs w:val="20"/>
          </w:rPr>
          <w:t>пункте 42</w:t>
        </w:r>
      </w:hyperlink>
      <w:r>
        <w:rPr>
          <w:rFonts w:ascii="Arial" w:hAnsi="Arial" w:cs="Arial"/>
          <w:sz w:val="20"/>
          <w:szCs w:val="20"/>
        </w:rPr>
        <w:t xml:space="preserve"> настоящего документа, характеристики приборов учета, имеющихся на дату заключения договора, и условия о порядке определения объема и стоимости потребления электрической энергии (мощности) в случае отсутствия приборов учета и в иных случаях, когда в соответствии с настоящим документом подлежат применению расчетные способы;</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253"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18.04.2020 N 554)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53" w:name="Par439"/>
      <w:bookmarkEnd w:id="53"/>
      <w:r>
        <w:rPr>
          <w:rFonts w:ascii="Arial" w:hAnsi="Arial" w:cs="Arial"/>
          <w:sz w:val="20"/>
          <w:szCs w:val="20"/>
        </w:rPr>
        <w:t>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следующие права потребителя (покупателя) по договору: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право выбора в случаях, определенных настоящим документом, ценовой категории, условий почасового планирования потребления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право досрочного расторжения или изменения договора с гарантирующим поставщиком при выполнении условий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неустойка в размере и в случаях, которые предусмотрены </w:t>
      </w:r>
      <w:hyperlink w:anchor="Par1220" w:history="1">
        <w:r>
          <w:rPr>
            <w:rFonts w:ascii="Arial" w:hAnsi="Arial" w:cs="Arial"/>
            <w:color w:val="0000FF"/>
            <w:sz w:val="20"/>
            <w:szCs w:val="20"/>
          </w:rPr>
          <w:t>разделом X</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254"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18.04.2020 N 554)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54" w:name="Par445"/>
      <w:bookmarkEnd w:id="54"/>
      <w:r>
        <w:rPr>
          <w:rFonts w:ascii="Arial" w:hAnsi="Arial" w:cs="Arial"/>
          <w:sz w:val="20"/>
          <w:szCs w:val="20"/>
        </w:rPr>
        <w:t>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договоре купли-продажи (поставки) электрической энергии (мощности) также должны быть указаны выделенный оператором подвижной радиотелефонной связи абонентский номер (далее -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255"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55" w:name="Par448"/>
      <w:bookmarkEnd w:id="55"/>
      <w:r>
        <w:rPr>
          <w:rFonts w:ascii="Arial" w:hAnsi="Arial" w:cs="Arial"/>
          <w:sz w:val="20"/>
          <w:szCs w:val="20"/>
        </w:rPr>
        <w:t xml:space="preserve">41. Существенными условиями договора энергоснабжения являются условия, предусмотренные </w:t>
      </w:r>
      <w:hyperlink w:anchor="Par428" w:history="1">
        <w:r>
          <w:rPr>
            <w:rFonts w:ascii="Arial" w:hAnsi="Arial" w:cs="Arial"/>
            <w:color w:val="0000FF"/>
            <w:sz w:val="20"/>
            <w:szCs w:val="20"/>
          </w:rPr>
          <w:t>пунктом 40</w:t>
        </w:r>
      </w:hyperlink>
      <w:r>
        <w:rPr>
          <w:rFonts w:ascii="Arial" w:hAnsi="Arial" w:cs="Arial"/>
          <w:sz w:val="20"/>
          <w:szCs w:val="20"/>
        </w:rPr>
        <w:t xml:space="preserve"> настоящего документа (за исключением условия, указанного в </w:t>
      </w:r>
      <w:hyperlink w:anchor="Par431" w:history="1">
        <w:r>
          <w:rPr>
            <w:rFonts w:ascii="Arial" w:hAnsi="Arial" w:cs="Arial"/>
            <w:color w:val="0000FF"/>
            <w:sz w:val="20"/>
            <w:szCs w:val="20"/>
          </w:rPr>
          <w:t>абзаце четвертом пункта 40</w:t>
        </w:r>
      </w:hyperlink>
      <w:r>
        <w:rPr>
          <w:rFonts w:ascii="Arial" w:hAnsi="Arial" w:cs="Arial"/>
          <w:sz w:val="20"/>
          <w:szCs w:val="20"/>
        </w:rPr>
        <w:t xml:space="preserve"> настоящего документа), а также следующие условия: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существенные условия договора оказания услуг по передаче электрической энергии в соответствии с </w:t>
      </w:r>
      <w:hyperlink r:id="rId256" w:history="1">
        <w:r>
          <w:rPr>
            <w:rFonts w:ascii="Arial" w:hAnsi="Arial" w:cs="Arial"/>
            <w:color w:val="0000FF"/>
            <w:sz w:val="20"/>
            <w:szCs w:val="20"/>
          </w:rPr>
          <w:t>Правилами</w:t>
        </w:r>
      </w:hyperlink>
      <w:r>
        <w:rPr>
          <w:rFonts w:ascii="Arial" w:hAnsi="Arial" w:cs="Arial"/>
          <w:sz w:val="20"/>
          <w:szCs w:val="20"/>
        </w:rPr>
        <w:t xml:space="preserve"> недискриминационного доступа к услугам по передаче электрической энергии и оказания этих услуг;</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условия о порядке определения объема оказанных услуг по передаче электрической энергии в случае отсутствия приборов учета и в иных случаях, когда в соответствии с настоящим документом подлежат применению расчетные способы, определенные в </w:t>
      </w:r>
      <w:hyperlink w:anchor="Par1220" w:history="1">
        <w:r>
          <w:rPr>
            <w:rFonts w:ascii="Arial" w:hAnsi="Arial" w:cs="Arial"/>
            <w:color w:val="0000FF"/>
            <w:sz w:val="20"/>
            <w:szCs w:val="20"/>
          </w:rPr>
          <w:t>разделе X</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257"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30.12.2012 N 1482)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обязанность потребителя по обеспечению функционирования и реализации управляющих воздействий устройств релейной защиты, противоаварийной и режимной автоматики, средств регулирования напряжения и компенсации реактивной мощности, установленных в границах его балансовой принадлежности в соответствии с </w:t>
      </w:r>
      <w:hyperlink r:id="rId258" w:history="1">
        <w:r>
          <w:rPr>
            <w:rFonts w:ascii="Arial" w:hAnsi="Arial" w:cs="Arial"/>
            <w:color w:val="0000FF"/>
            <w:sz w:val="20"/>
            <w:szCs w:val="20"/>
          </w:rPr>
          <w:t>Правилами</w:t>
        </w:r>
      </w:hyperlink>
      <w:r>
        <w:rPr>
          <w:rFonts w:ascii="Arial" w:hAnsi="Arial" w:cs="Arial"/>
          <w:sz w:val="20"/>
          <w:szCs w:val="20"/>
        </w:rPr>
        <w:t xml:space="preserve"> технологического присоединения или </w:t>
      </w:r>
      <w:hyperlink r:id="rId259" w:history="1">
        <w:r>
          <w:rPr>
            <w:rFonts w:ascii="Arial" w:hAnsi="Arial" w:cs="Arial"/>
            <w:color w:val="0000FF"/>
            <w:sz w:val="20"/>
            <w:szCs w:val="20"/>
          </w:rPr>
          <w:t>Правилами</w:t>
        </w:r>
      </w:hyperlink>
      <w:r>
        <w:rPr>
          <w:rFonts w:ascii="Arial" w:hAnsi="Arial" w:cs="Arial"/>
          <w:sz w:val="20"/>
          <w:szCs w:val="20"/>
        </w:rPr>
        <w:t xml:space="preserve"> недискриминационного доступа к услугам по передаче электрической энергии и оказания этих услуг, а также обязанность потребителя по обеспечению своевременного выполнения диспетчерских команд (распоряжений) субъекта оперативно-диспетчерского управления в электроэнергетике и соответствующих требований сетевой организации, а также ответственность за несоблюдение указанной обязанности.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Постановлений Правительства РФ от 10.02.2014 </w:t>
      </w:r>
      <w:hyperlink r:id="rId260" w:history="1">
        <w:r>
          <w:rPr>
            <w:rFonts w:ascii="Arial" w:hAnsi="Arial" w:cs="Arial"/>
            <w:color w:val="0000FF"/>
            <w:sz w:val="20"/>
            <w:szCs w:val="20"/>
          </w:rPr>
          <w:t>N 95</w:t>
        </w:r>
      </w:hyperlink>
      <w:r>
        <w:rPr>
          <w:rFonts w:ascii="Arial" w:hAnsi="Arial" w:cs="Arial"/>
          <w:sz w:val="20"/>
          <w:szCs w:val="20"/>
        </w:rPr>
        <w:t xml:space="preserve">, от 18.04.2020 </w:t>
      </w:r>
      <w:hyperlink r:id="rId261" w:history="1">
        <w:r>
          <w:rPr>
            <w:rFonts w:ascii="Arial" w:hAnsi="Arial" w:cs="Arial"/>
            <w:color w:val="0000FF"/>
            <w:sz w:val="20"/>
            <w:szCs w:val="20"/>
          </w:rPr>
          <w:t>N 554</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договоре энергоснабжения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262"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56" w:name="Par456"/>
      <w:bookmarkEnd w:id="56"/>
      <w:r>
        <w:rPr>
          <w:rFonts w:ascii="Arial" w:hAnsi="Arial" w:cs="Arial"/>
          <w:sz w:val="20"/>
          <w:szCs w:val="20"/>
        </w:rPr>
        <w:lastRenderedPageBreak/>
        <w:t xml:space="preserve">42. Договор энергоснабжения (купли-продажи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w:t>
      </w:r>
      <w:hyperlink w:anchor="Par1220" w:history="1">
        <w:r>
          <w:rPr>
            <w:rFonts w:ascii="Arial" w:hAnsi="Arial" w:cs="Arial"/>
            <w:color w:val="0000FF"/>
            <w:sz w:val="20"/>
            <w:szCs w:val="20"/>
          </w:rPr>
          <w:t>раздела X</w:t>
        </w:r>
      </w:hyperlink>
      <w:r>
        <w:rPr>
          <w:rFonts w:ascii="Arial" w:hAnsi="Arial" w:cs="Arial"/>
          <w:sz w:val="20"/>
          <w:szCs w:val="20"/>
        </w:rPr>
        <w:t xml:space="preserve"> настоящего документа и включающие в том числе: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порядок установки и допуска установленного прибора учета в эксплуатацию лицом, обязанным осуществлять такие действия в соответствии с законодательством Российской Федерации об электроэнергетике, в том числе порядок действий потребителя (покупателя) и гарантирующего поставщика, которые они обязаны совершить в целях обеспечения установки и допуска установленного прибора учета в эксплуатацию;</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263"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18.04.2020 N 554)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порядок определения прибора учета (приборов учета), показания которого (которых) в соответствии с настоящим документом используются при определении объемов потребления электрической энергии (мощности), оказанных услуг по передаче электрической энергии, за которые осуществляются расчеты по договору;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наименование и контакты юридического лица, ответственного в соответствии с законодательством Российской Федерации об электроэнергетике за эксплуатацию прибора учета;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264"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18.04.2020 N 554)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требования, предъявляемые к обеспечению сохранности прибора учета;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порядок, способы и периодичность снятия и передачи показаний приборов учета ответственным лицом, обязанным осуществлять указанные действия в соответствии с настоящим документом;</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265"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18.04.2020 N 554)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порядок сообщения о выходе прибора учета (измерительного комплекса, измерительных трансформаторов) из строя и его утрате;</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266"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18.04.2020 N 554)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абзац утратил силу с 1 июля 2020 года. - </w:t>
      </w:r>
      <w:hyperlink r:id="rId267" w:history="1">
        <w:r>
          <w:rPr>
            <w:rFonts w:ascii="Arial" w:hAnsi="Arial" w:cs="Arial"/>
            <w:color w:val="0000FF"/>
            <w:sz w:val="20"/>
            <w:szCs w:val="20"/>
          </w:rPr>
          <w:t>Постановление</w:t>
        </w:r>
      </w:hyperlink>
      <w:r>
        <w:rPr>
          <w:rFonts w:ascii="Arial" w:hAnsi="Arial" w:cs="Arial"/>
          <w:sz w:val="20"/>
          <w:szCs w:val="20"/>
        </w:rPr>
        <w:t xml:space="preserve"> Правительства РФ от 18.04.2020 N 554;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обязанность потребителя (покупателя) по обеспечению доступа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числе контрольному снятию показаний, в случаях и в порядке, которые предусмотрены </w:t>
      </w:r>
      <w:hyperlink w:anchor="Par1220" w:history="1">
        <w:r>
          <w:rPr>
            <w:rFonts w:ascii="Arial" w:hAnsi="Arial" w:cs="Arial"/>
            <w:color w:val="0000FF"/>
            <w:sz w:val="20"/>
            <w:szCs w:val="20"/>
          </w:rPr>
          <w:t>разделом X</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268"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18.04.2020 N 554)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если точки поставки на день заключения договора оборудованы приборами учета, то в договоре должны быть также указаны имеющиеся приборы учета, места их расположения, их заводские номера, дата государственной поверки приборов учета и показания на дату и время начала исполнения договора.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если точки поставки на день заключения договора не оборудованы приборами учета, договор должен также содержать указание на лицо, обязанное в соответствии с законодательством Российской Федерации об электроэнергетике осуществлять действия по обеспечению оборудования точек поставки приборами учета электрической энергии, а также условия о порядке определения объема потребления электрической энергии (мощности), оказанных услуг по передаче электрической энергии в случае отсутствия приборов учета и в иных случаях, когда подлежат применению расчетные способы в соответствии с </w:t>
      </w:r>
      <w:hyperlink w:anchor="Par1220" w:history="1">
        <w:r>
          <w:rPr>
            <w:rFonts w:ascii="Arial" w:hAnsi="Arial" w:cs="Arial"/>
            <w:color w:val="0000FF"/>
            <w:sz w:val="20"/>
            <w:szCs w:val="20"/>
          </w:rPr>
          <w:t>разделом X</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269"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18.04.2020 N 554)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57" w:name="Par473"/>
      <w:bookmarkEnd w:id="57"/>
      <w:r>
        <w:rPr>
          <w:rFonts w:ascii="Arial" w:hAnsi="Arial" w:cs="Arial"/>
          <w:sz w:val="20"/>
          <w:szCs w:val="20"/>
        </w:rPr>
        <w:t xml:space="preserve">43. В договор энергоснабжения в качестве условий об обязанностях потребителя, в отношении энергопринимающих устройств которого заключен договор энергоснабжения, помимо условий, указанных в настоящем документе, подлежат включению также установленные в </w:t>
      </w:r>
      <w:hyperlink r:id="rId270" w:history="1">
        <w:r>
          <w:rPr>
            <w:rFonts w:ascii="Arial" w:hAnsi="Arial" w:cs="Arial"/>
            <w:color w:val="0000FF"/>
            <w:sz w:val="20"/>
            <w:szCs w:val="20"/>
          </w:rPr>
          <w:t>Правилах</w:t>
        </w:r>
      </w:hyperlink>
      <w:r>
        <w:rPr>
          <w:rFonts w:ascii="Arial" w:hAnsi="Arial" w:cs="Arial"/>
          <w:sz w:val="20"/>
          <w:szCs w:val="20"/>
        </w:rPr>
        <w:t xml:space="preserve"> недискриминационного доступа к услугам по передаче электрической энергии и оказания этих услуг обязанности потребителя услуг по передаче электрической энергии, применимые к потребителю, в отношении энергопринимающих устройств которого заключается договор энергоснабжения.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договоре энергоснабжения для случаев, когда в соответствии с требованиями законодательства Российской Федерации и (или) по условиям договора требуется непосредственное взаимодействие третьих </w:t>
      </w:r>
      <w:r>
        <w:rPr>
          <w:rFonts w:ascii="Arial" w:hAnsi="Arial" w:cs="Arial"/>
          <w:sz w:val="20"/>
          <w:szCs w:val="20"/>
        </w:rPr>
        <w:lastRenderedPageBreak/>
        <w:t>лиц, привлеченных гарантирующим поставщиком для оказания услуг по передаче электрической энергии и услуг, оказание которых является неотъемлемой частью процесса поставки электрической энергии потребителям, с потребителем, в отношении энергопринимающих устройств которого заключается договор энергоснабжения, должен быть описан порядок такого взаимодействия, обязанности и ответственность потребителя за его несоблюдение.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Если договор энергоснабжения заключен между гарантирующим поставщиком и покупателем, действующим в интересах потребителя, то в таком договоре в дополнение к указанному порядку взаимодействия предусматривается обязанность покупателя по обеспечению включения указанного порядка в договор с потребителем и ответственность покупателя за неисполнение такой обязанности.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договоре энергоснабжения должна содержаться контактная информация сетевой организации, к объектам электросетевого хозяйства которой непосредственно присоединены энергопринимающие устройства потребителя (контактные телефоны для заочного обслуживания потребителей, ссылка на официальный сайт сетевой организации в сети "Интернет").</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271"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26.07.2013 N 630)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договоре энергоснабжения в части порядка взаимодействия потребителя с третьими лицами предусматривается в том числе: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обязанность потребителя выполнять задания диспетчерских центров системного оператора и субъектов оперативно-диспетчерского управления в технологически изолированных территориальных электроэнергетических системах (в том числе выданных через сетевую организацию) по подключению нагрузки под действие противоаварийной автоматики, настройке устройств релейной защиты, противоаварийной и режимной автоматики в соответствии с распределением таких обязанностей, указанным в договоре оказания услуг по передаче электрической энергии, заключенном гарантирующим поставщиком в интересах потребителя в соответствии с </w:t>
      </w:r>
      <w:hyperlink r:id="rId272" w:history="1">
        <w:r>
          <w:rPr>
            <w:rFonts w:ascii="Arial" w:hAnsi="Arial" w:cs="Arial"/>
            <w:color w:val="0000FF"/>
            <w:sz w:val="20"/>
            <w:szCs w:val="20"/>
          </w:rPr>
          <w:t>Правилами</w:t>
        </w:r>
      </w:hyperlink>
      <w:r>
        <w:rPr>
          <w:rFonts w:ascii="Arial" w:hAnsi="Arial" w:cs="Arial"/>
          <w:sz w:val="20"/>
          <w:szCs w:val="20"/>
        </w:rPr>
        <w:t xml:space="preserve"> недискриминационного доступа к услугам по передаче электрической энергии и оказания этих услуг;</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обязанность потребителя поддерживать на границе балансовой принадлежности значения показателей качества электрической энергии, обусловленные работой его энергопринимающих устройств, в соответствии с требованиями законодательства Российской Федерации, соблюдать значения соотношения потребления активной и реактивной мощности для отдельных энергопринимающих устройств (групп энергопринимающих устройств) потребителя, определяемые в соответствии с договором оказания услуг по передаче электрической энергии, заключенным гарантирующим поставщиком в интересах данного потребителя, а также обеспечить доступ гарантирующего поставщика к энергопринимающим устройствам, находящимся в границах балансовой принадлежности данного потребителя, для осуществления проверок (замеров), предусмотренных </w:t>
      </w:r>
      <w:hyperlink r:id="rId273" w:history="1">
        <w:r>
          <w:rPr>
            <w:rFonts w:ascii="Arial" w:hAnsi="Arial" w:cs="Arial"/>
            <w:color w:val="0000FF"/>
            <w:sz w:val="20"/>
            <w:szCs w:val="20"/>
          </w:rPr>
          <w:t>Правилами</w:t>
        </w:r>
      </w:hyperlink>
      <w:r>
        <w:rPr>
          <w:rFonts w:ascii="Arial" w:hAnsi="Arial" w:cs="Arial"/>
          <w:sz w:val="20"/>
          <w:szCs w:val="20"/>
        </w:rPr>
        <w:t xml:space="preserve"> недискриминационного доступа к услугам по передаче электрической энергии и оказания этих услуг и настоящим документом;</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274"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13.08.2018 N 937)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абзац утратил силу с 1 июля 2020 года. - </w:t>
      </w:r>
      <w:hyperlink r:id="rId275" w:history="1">
        <w:r>
          <w:rPr>
            <w:rFonts w:ascii="Arial" w:hAnsi="Arial" w:cs="Arial"/>
            <w:color w:val="0000FF"/>
            <w:sz w:val="20"/>
            <w:szCs w:val="20"/>
          </w:rPr>
          <w:t>Постановление</w:t>
        </w:r>
      </w:hyperlink>
      <w:r>
        <w:rPr>
          <w:rFonts w:ascii="Arial" w:hAnsi="Arial" w:cs="Arial"/>
          <w:sz w:val="20"/>
          <w:szCs w:val="20"/>
        </w:rPr>
        <w:t xml:space="preserve"> Правительства РФ от 18.04.2020 N 554;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58" w:name="Par483"/>
      <w:bookmarkEnd w:id="58"/>
      <w:r>
        <w:rPr>
          <w:rFonts w:ascii="Arial" w:hAnsi="Arial" w:cs="Arial"/>
          <w:sz w:val="20"/>
          <w:szCs w:val="20"/>
        </w:rPr>
        <w:t xml:space="preserve">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относящегося к категориям, определенным в приложении к Правилам полного и (или) частичного ограничения режима потребления электрической энергии, а также потребителя электрической энергии, энергопринимающие устройства которого отнесены к первой категории надежности, при отсутствии у него акта согласования технологической и (или) аварийной брони на дату подачи заявления о заключении договора энергоснабжения или при возникновении после заключения договора энергоснабжения оснований для изменения ранее составленного акта в порядке, определенном </w:t>
      </w:r>
      <w:hyperlink r:id="rId276" w:history="1">
        <w:r>
          <w:rPr>
            <w:rFonts w:ascii="Arial" w:hAnsi="Arial" w:cs="Arial"/>
            <w:color w:val="0000FF"/>
            <w:sz w:val="20"/>
            <w:szCs w:val="20"/>
          </w:rPr>
          <w:t>Правилами</w:t>
        </w:r>
      </w:hyperlink>
      <w:r>
        <w:rPr>
          <w:rFonts w:ascii="Arial" w:hAnsi="Arial" w:cs="Arial"/>
          <w:sz w:val="20"/>
          <w:szCs w:val="20"/>
        </w:rPr>
        <w:t xml:space="preserve"> недискриминационного доступа к услугам по передаче электрической энергии и оказания этих услуг, составить (изменить) и согласовать с сетевой организацией акт согласования технологической и (или) аварийной брони, а также передать гарантирующему поставщику копию акта согласования технологической и (или) аварийной брони не позднее 5 дней после дня согласования с сетевой организацией.</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277"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17.09.2018 N 1096)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44. Определение объема покупки электрической энергии (мощности), поставленной гарантирующим поставщиком в точках поставки по договору энергоснабжения (купли-продажи (поставки) электрической энергии (мощности)) за расчетный период, осуществляется на основании данных об объемах потребления электрической энергии (мощности), определенных в соответствии с </w:t>
      </w:r>
      <w:hyperlink w:anchor="Par1220" w:history="1">
        <w:r>
          <w:rPr>
            <w:rFonts w:ascii="Arial" w:hAnsi="Arial" w:cs="Arial"/>
            <w:color w:val="0000FF"/>
            <w:sz w:val="20"/>
            <w:szCs w:val="20"/>
          </w:rPr>
          <w:t>разделом X</w:t>
        </w:r>
      </w:hyperlink>
      <w:r>
        <w:rPr>
          <w:rFonts w:ascii="Arial" w:hAnsi="Arial" w:cs="Arial"/>
          <w:sz w:val="20"/>
          <w:szCs w:val="20"/>
        </w:rPr>
        <w:t xml:space="preserve"> настоящего документа с </w:t>
      </w:r>
      <w:r>
        <w:rPr>
          <w:rFonts w:ascii="Arial" w:hAnsi="Arial" w:cs="Arial"/>
          <w:sz w:val="20"/>
          <w:szCs w:val="20"/>
        </w:rPr>
        <w:lastRenderedPageBreak/>
        <w:t xml:space="preserve">использованием приборов учета или расчетных способов, при этом определение объема покупки электрической энергии (мощности), поставленной гарантирующим поставщиком по договору энергоснабжения (купли-продажи (поставки) электрической энергии (мощности)), заключенному в соответствии с </w:t>
      </w:r>
      <w:hyperlink w:anchor="Par596" w:history="1">
        <w:r>
          <w:rPr>
            <w:rFonts w:ascii="Arial" w:hAnsi="Arial" w:cs="Arial"/>
            <w:color w:val="0000FF"/>
            <w:sz w:val="20"/>
            <w:szCs w:val="20"/>
          </w:rPr>
          <w:t>пунктом 65</w:t>
        </w:r>
      </w:hyperlink>
      <w:r>
        <w:rPr>
          <w:rFonts w:ascii="Arial" w:hAnsi="Arial" w:cs="Arial"/>
          <w:sz w:val="20"/>
          <w:szCs w:val="20"/>
        </w:rPr>
        <w:t xml:space="preserve"> настоящего документа, осуществляется с учетом положений указанного </w:t>
      </w:r>
      <w:hyperlink w:anchor="Par596" w:history="1">
        <w:r>
          <w:rPr>
            <w:rFonts w:ascii="Arial" w:hAnsi="Arial" w:cs="Arial"/>
            <w:color w:val="0000FF"/>
            <w:sz w:val="20"/>
            <w:szCs w:val="20"/>
          </w:rPr>
          <w:t>пункта</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Потребитель (покупатель), приобретающий или имеющий намерение приобретать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вправе потребовать, а гарантирующий поставщик 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 которое должно включать:</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обязанность потребителя (покупателя) сообщать гарантирующему поставщику детализацию планового объема потребления электрической энергии по часам суток за 2 дня до суток, на которые осуществляется планирование потребления, до 9 часов этого дня (по времени, по которому определяются сроки совершения действий в соответствии с </w:t>
      </w:r>
      <w:hyperlink r:id="rId278" w:history="1">
        <w:r>
          <w:rPr>
            <w:rFonts w:ascii="Arial" w:hAnsi="Arial" w:cs="Arial"/>
            <w:color w:val="0000FF"/>
            <w:sz w:val="20"/>
            <w:szCs w:val="20"/>
          </w:rPr>
          <w:t>Правилами</w:t>
        </w:r>
      </w:hyperlink>
      <w:r>
        <w:rPr>
          <w:rFonts w:ascii="Arial" w:hAnsi="Arial" w:cs="Arial"/>
          <w:sz w:val="20"/>
          <w:szCs w:val="20"/>
        </w:rPr>
        <w:t xml:space="preserve"> оптового рынка на территориях соответствующих субъектов Российской Федерации, объединенных в ценовые зоны оптового рынка, на которых находятся точки поставки соответствующего потребителя) с правом скорректировать сообщенные плановые объемы потребления электрической энергии по всем или некоторым часам суток путем их уменьшения за 1 день до суток, на которые осуществляется планирование потребления, до 9 часов этого дня;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обязанность потребителя (покупателя) оплачивать стоимость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о которых сообщил потребитель, и в объеме превышений плановых почасовых объемов потребления электрической энергии над соответствующими фактическими почасовыми объемами покупки электрической энергии в случаях и в порядке, которые установлены настоящим документом.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Порядок взаимодействия с гарантирующим поставщиком потребителей (покупателей), приобретающих электрическую энергию, в отношении энергопринимающих устройств, расположенных на территориях субъектов Российской Федерации, объединенных в неценовые зоны оптового рынка, и осуществляющих планирование объемов потребления электрической энергии по часам суток, предусмотрен в соответствии с </w:t>
      </w:r>
      <w:hyperlink w:anchor="Par969" w:history="1">
        <w:r>
          <w:rPr>
            <w:rFonts w:ascii="Arial" w:hAnsi="Arial" w:cs="Arial"/>
            <w:color w:val="0000FF"/>
            <w:sz w:val="20"/>
            <w:szCs w:val="20"/>
          </w:rPr>
          <w:t>разделом VII</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45. Если иное не предусмотрено соглашением сторон, договор энергоснабжения (купли-продажи (поставки) электрической энергии (мощности)) с гарантирующим поставщиком считается заключенным на неопределенный срок (за исключением случаев, когда указанный договор заключен на период электроснабжения энергопринимающих устройств по временной схеме электроснабжения, предусмотренной </w:t>
      </w:r>
      <w:hyperlink r:id="rId279" w:history="1">
        <w:r>
          <w:rPr>
            <w:rFonts w:ascii="Arial" w:hAnsi="Arial" w:cs="Arial"/>
            <w:color w:val="0000FF"/>
            <w:sz w:val="20"/>
            <w:szCs w:val="20"/>
          </w:rPr>
          <w:t>Правилами</w:t>
        </w:r>
      </w:hyperlink>
      <w:r>
        <w:rPr>
          <w:rFonts w:ascii="Arial" w:hAnsi="Arial" w:cs="Arial"/>
          <w:sz w:val="20"/>
          <w:szCs w:val="20"/>
        </w:rPr>
        <w:t xml:space="preserve"> технологического присоединения) и может быть изменен или расторгнут по основаниям, предусмотренным гражданским законодательством Российской Федерации и настоящим документом.</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Постановлений Правительства РФ от 26.08.2013 </w:t>
      </w:r>
      <w:hyperlink r:id="rId280" w:history="1">
        <w:r>
          <w:rPr>
            <w:rFonts w:ascii="Arial" w:hAnsi="Arial" w:cs="Arial"/>
            <w:color w:val="0000FF"/>
            <w:sz w:val="20"/>
            <w:szCs w:val="20"/>
          </w:rPr>
          <w:t>N 737</w:t>
        </w:r>
      </w:hyperlink>
      <w:r>
        <w:rPr>
          <w:rFonts w:ascii="Arial" w:hAnsi="Arial" w:cs="Arial"/>
          <w:sz w:val="20"/>
          <w:szCs w:val="20"/>
        </w:rPr>
        <w:t xml:space="preserve">, от 18.04.2020 </w:t>
      </w:r>
      <w:hyperlink r:id="rId281" w:history="1">
        <w:r>
          <w:rPr>
            <w:rFonts w:ascii="Arial" w:hAnsi="Arial" w:cs="Arial"/>
            <w:color w:val="0000FF"/>
            <w:sz w:val="20"/>
            <w:szCs w:val="20"/>
          </w:rPr>
          <w:t>N 554</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Договор энергоснабжения (купли-продажи (поставки) электрической энергии (мощности)) с гарантирующим поставщиком, заключенный на определенный срок, считается продленным на тот же срок и на тех же условиях, если за 30 дней до окончания срока его действия потребитель (покупатель) не заявит о его прекращении или изменении либо о заключении нового договора. Если за 30 дней до окончания срока действия договора, заключенного на определенный срок, потребителем (покупателем) внесено предложение об изменении договора или заключении нового договора, то отношения сторон до изменения договора или до заключения нового договора регулируются в соответствии с условиями ранее заключенного договора.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Гарантирующий поставщик (энергосбытовая организация) на основании опубликованной органом исполнительной власти субъекта Российской Федерации в области государственного регулирования тарифов информации о территориальных сетевых организациях, оказывающих услуги по передаче электрической энергии в текущем расчетном периоде регулирования, в отношении которых не устанавливаются (не пересматриваются) цены (тарифы) на услуги по передаче электрической энергии на очередной расчетный период регулирования, обязан уведомить потребителей (покупателей), с которыми у него заключены договоры купли-продажи (поставки) электрической энергии (мощности), о необходимости заключения договора об оказании услуг по передаче электрической энергии на очередной расчетный </w:t>
      </w:r>
      <w:r>
        <w:rPr>
          <w:rFonts w:ascii="Arial" w:hAnsi="Arial" w:cs="Arial"/>
          <w:sz w:val="20"/>
          <w:szCs w:val="20"/>
        </w:rPr>
        <w:lastRenderedPageBreak/>
        <w:t xml:space="preserve">период регулирования с территориальной сетевой организацией, в отношении которой устанавливаются (пересматриваются) цены (тарифы) на услуги по передаче электрической энергии на очередной период регулирования в соответствии с порядком заключения и исполнения договора, установленным </w:t>
      </w:r>
      <w:hyperlink r:id="rId282" w:history="1">
        <w:r>
          <w:rPr>
            <w:rFonts w:ascii="Arial" w:hAnsi="Arial" w:cs="Arial"/>
            <w:color w:val="0000FF"/>
            <w:sz w:val="20"/>
            <w:szCs w:val="20"/>
          </w:rPr>
          <w:t>Правилами</w:t>
        </w:r>
      </w:hyperlink>
      <w:r>
        <w:rPr>
          <w:rFonts w:ascii="Arial" w:hAnsi="Arial" w:cs="Arial"/>
          <w:sz w:val="20"/>
          <w:szCs w:val="20"/>
        </w:rPr>
        <w:t xml:space="preserve"> недискриминационного доступа к услугам по передаче электрической энергии и оказания этих услуг.</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283"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28.02.2015 N 184; в ред. </w:t>
      </w:r>
      <w:hyperlink r:id="rId284"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17.09.2018 N 1096)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уведомлении в отношении каждой смежной территориальной сетевой организации, для которой устанавливаются (пересматриваются) цены (тарифы) на услуги по передаче электрической энергии на очередной расчетный период регулирования, указываются полное и сокращенное (при наличии) наименование и организационно-правовая форма организации, идентификационный номер налогоплательщика (код причины постановки на учет), адрес официального сайта организации в сети "Интернет" и выделенный организацией абонентский номер для обращений потребителей услуг по передаче электрической энергии и (или) технологическому присоединению.</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285"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28.02.2015 N 184)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Указанное уведомление необходимо направить в течение 10 дней со дня опубликования органом исполнительной власти субъекта Российской Федерации в области государственного регулирования тарифов информации о территориальных сетевых организациях в соответствии с </w:t>
      </w:r>
      <w:hyperlink r:id="rId286" w:history="1">
        <w:r>
          <w:rPr>
            <w:rFonts w:ascii="Arial" w:hAnsi="Arial" w:cs="Arial"/>
            <w:color w:val="0000FF"/>
            <w:sz w:val="20"/>
            <w:szCs w:val="20"/>
          </w:rPr>
          <w:t>пунктом 30(1)</w:t>
        </w:r>
      </w:hyperlink>
      <w:r>
        <w:rPr>
          <w:rFonts w:ascii="Arial" w:hAnsi="Arial" w:cs="Arial"/>
          <w:sz w:val="20"/>
          <w:szCs w:val="20"/>
        </w:rPr>
        <w:t xml:space="preserve"> Правил государственного регулирования (пересмотра, применения) цен (тарифов) в электроэнергетике, утвержденных постановлением Правительства Российской Федерации от 29 декабря 2011 г. N 1178.</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287"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28.02.2015 N 184)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59" w:name="Par499"/>
      <w:bookmarkEnd w:id="59"/>
      <w:r>
        <w:rPr>
          <w:rFonts w:ascii="Arial" w:hAnsi="Arial" w:cs="Arial"/>
          <w:sz w:val="20"/>
          <w:szCs w:val="20"/>
        </w:rPr>
        <w:t>46. При заключении договора энергоснабжения (купли-продажи (поставки) электрической энергии (мощности)) в отношении энергопринимающих устройств, в отношении которых сетевой организацией введено полное и (или) частичное ограничение режима потребления электрической энергии, в том числе в связи с неисполнением или ненадлежащим исполнением потребителем (действовавшим в его интересах лицом) обязательств по оплате электрической энергии,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 по предыдущему договору энергоснабжения (купли-продажи (поставки) электрической энергии (мощности)), исполнение гарантирующим поставщиком обязательств по продаже электрической энергии (мощности) по заключенному договору энергоснабжения (купли-продажи (поставки) электрической энергии (мощности)) начинается не ранее даты и времени отмены указанного ограничения режима потребления в связи с устранением обстоятельств, явившихся основанием для введения указанного ограничения режима потребления электрической энергии.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288"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47. В случае если в соответствии с </w:t>
      </w:r>
      <w:hyperlink w:anchor="Par403" w:history="1">
        <w:r>
          <w:rPr>
            <w:rFonts w:ascii="Arial" w:hAnsi="Arial" w:cs="Arial"/>
            <w:color w:val="0000FF"/>
            <w:sz w:val="20"/>
            <w:szCs w:val="20"/>
          </w:rPr>
          <w:t>пунктом 37</w:t>
        </w:r>
      </w:hyperlink>
      <w:r>
        <w:rPr>
          <w:rFonts w:ascii="Arial" w:hAnsi="Arial" w:cs="Arial"/>
          <w:sz w:val="20"/>
          <w:szCs w:val="20"/>
        </w:rPr>
        <w:t xml:space="preserve"> настоящего документа гарантирующий поставщик заключил договор энергоснабжения (купли-продажи (поставки) электрической энергии (мощности)) в отношении энергопринимающих устройств потребителя в отсутствие документов, подтверждающих технологическое присоединение и (или) разграничение балансовой принадлежности, то при установлении гарантирующим поставщиком факта ненадлежащего технологического присоединения энергопринимающих устройств он сообщает сетевой организации, с которой заключен договор оказания услуг по передаче электрической энергии в отношении таких энергопринимающих устройств, а при отсутствии такого договора - сетевой организации (лицу, не оказывающему услуги по передаче электрической энергии), к объектам электросетевого хозяйства которой присоединены такие энергопринимающие устройства, о необходимости совершения действий по введению полного ограничения режима потребления электрической энергии (мощности) в отношении таких энергопринимающих устройств вплоть до момента отмены введенного полного ограничения режима потребления в связи с устранением указанных обстоятельств, явившихся основанием для введения полного ограничения режима потребления электрической энергии. О выявленном факте ненадлежащего технологического присоединения гарантирующий поставщик также уведомляет федеральный орган исполнительной власти, уполномоченный в области государственного энергетического надзора, способом, позволяющим подтвердить получение указанного уведомления.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289"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этом случае собственник или иной законный владелец таких энергопринимающих устройств обязан оплатить гарантирующему поставщику стоимость потребленной до момента ввода полного ограничения режима потребления электрической энергии (мощности), но не оплаченной, и иные связанные с потреблением электрической энергии (мощности) расходы (в том числе стоимость услуг по передаче электрической энергии), а при продолжении потребления электрической энергии после даты и времени введения полного ограничения режима потребления электрической энергии (мощности) обязан нести </w:t>
      </w:r>
      <w:r>
        <w:rPr>
          <w:rFonts w:ascii="Arial" w:hAnsi="Arial" w:cs="Arial"/>
          <w:sz w:val="20"/>
          <w:szCs w:val="20"/>
        </w:rPr>
        <w:lastRenderedPageBreak/>
        <w:t>предусмотренные настоящим документом и иными нормативными правовыми актами последствия бездоговорного потребления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Если гарантирующий поставщик установил факт ненадлежащего технологического присоединения энергопринимающих устройств до заключения договора энергоснабжения (купли-продажи (поставки) электрической энергии (мощности)), заявление о заключении которого было подано в соответствии с </w:t>
      </w:r>
      <w:hyperlink w:anchor="Par403" w:history="1">
        <w:r>
          <w:rPr>
            <w:rFonts w:ascii="Arial" w:hAnsi="Arial" w:cs="Arial"/>
            <w:color w:val="0000FF"/>
            <w:sz w:val="20"/>
            <w:szCs w:val="20"/>
          </w:rPr>
          <w:t>пунктом 37</w:t>
        </w:r>
      </w:hyperlink>
      <w:r>
        <w:rPr>
          <w:rFonts w:ascii="Arial" w:hAnsi="Arial" w:cs="Arial"/>
          <w:sz w:val="20"/>
          <w:szCs w:val="20"/>
        </w:rPr>
        <w:t xml:space="preserve"> настоящего документа в отсутствие документов, подтверждающих технологическое присоединение и (или) разграничение балансовой принадлежности, то гарантирующий поставщик отказывает в заключении договора.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60" w:name="Par505"/>
      <w:bookmarkEnd w:id="60"/>
      <w:r>
        <w:rPr>
          <w:rFonts w:ascii="Arial" w:hAnsi="Arial" w:cs="Arial"/>
          <w:sz w:val="20"/>
          <w:szCs w:val="20"/>
        </w:rPr>
        <w:t xml:space="preserve">48. Гарантирующий поставщик вправе в связи с наступлением обстоятельств, указанных в </w:t>
      </w:r>
      <w:hyperlink w:anchor="Par3675" w:history="1">
        <w:r>
          <w:rPr>
            <w:rFonts w:ascii="Arial" w:hAnsi="Arial" w:cs="Arial"/>
            <w:color w:val="0000FF"/>
            <w:sz w:val="20"/>
            <w:szCs w:val="20"/>
          </w:rPr>
          <w:t>Правилах</w:t>
        </w:r>
      </w:hyperlink>
      <w:r>
        <w:rPr>
          <w:rFonts w:ascii="Arial" w:hAnsi="Arial" w:cs="Arial"/>
          <w:sz w:val="20"/>
          <w:szCs w:val="20"/>
        </w:rPr>
        <w:t xml:space="preserve"> полного и (или) частичного ограничения режима потребления электрической энергии, инициировать в установленном порядке введение полного и (или) частичного ограничения режима потребления электрической энергии.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Постановлений Правительства РФ от 24.05.2017 </w:t>
      </w:r>
      <w:hyperlink r:id="rId290" w:history="1">
        <w:r>
          <w:rPr>
            <w:rFonts w:ascii="Arial" w:hAnsi="Arial" w:cs="Arial"/>
            <w:color w:val="0000FF"/>
            <w:sz w:val="20"/>
            <w:szCs w:val="20"/>
          </w:rPr>
          <w:t>N 624</w:t>
        </w:r>
      </w:hyperlink>
      <w:r>
        <w:rPr>
          <w:rFonts w:ascii="Arial" w:hAnsi="Arial" w:cs="Arial"/>
          <w:sz w:val="20"/>
          <w:szCs w:val="20"/>
        </w:rPr>
        <w:t xml:space="preserve">, от 17.09.2018 </w:t>
      </w:r>
      <w:hyperlink r:id="rId291" w:history="1">
        <w:r>
          <w:rPr>
            <w:rFonts w:ascii="Arial" w:hAnsi="Arial" w:cs="Arial"/>
            <w:color w:val="0000FF"/>
            <w:sz w:val="20"/>
            <w:szCs w:val="20"/>
          </w:rPr>
          <w:t>N 1096</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Введение полного и (или) частичного ограничения режима потребления электрической энергии в отношении потребителя не освобождает последнего от обязанности оплатить гарантирующему поставщику в полном размере стоимость электрической энергии (мощности), поставленной по договору энергоснабжения (купли-продажи (поставки) электрической энергии (мощности)), а также от ответственности за ненадлежащее исполнение потребителем своих обязательств по этому договору.</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292"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61" w:name="Par509"/>
      <w:bookmarkEnd w:id="61"/>
      <w:r>
        <w:rPr>
          <w:rFonts w:ascii="Arial" w:hAnsi="Arial" w:cs="Arial"/>
          <w:sz w:val="20"/>
          <w:szCs w:val="20"/>
        </w:rPr>
        <w:t xml:space="preserve">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выставляемого гарантирующим поставщиком в соответствии с </w:t>
      </w:r>
      <w:hyperlink w:anchor="Par706" w:history="1">
        <w:r>
          <w:rPr>
            <w:rFonts w:ascii="Arial" w:hAnsi="Arial" w:cs="Arial"/>
            <w:color w:val="0000FF"/>
            <w:sz w:val="20"/>
            <w:szCs w:val="20"/>
          </w:rPr>
          <w:t>пунктом 85</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293"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21.07.2017 N 863)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62" w:name="Par511"/>
      <w:bookmarkEnd w:id="62"/>
      <w:r>
        <w:rPr>
          <w:rFonts w:ascii="Arial" w:hAnsi="Arial" w:cs="Arial"/>
          <w:sz w:val="20"/>
          <w:szCs w:val="20"/>
        </w:rPr>
        <w:t>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объемов электрической энергии (мощности) по договору, обеспечивающему продажу электрической энергии (мощности), заключенному с производителем электрической энергии (мощности) на розничном рынке, что влечет изменение условия договора в части порядка определения объема электрической энергии (мощности), поставленного гарантирующим поставщиком по договору за расчетный период, при условии выполнения потребителем (покупателем) следующих обязанностей: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не позднее чем за 10 рабочих дней до заявляемой им даты изменения договора оплатить гарантирующему поставщику стоимость потребленной до заявленной даты изменения договора электрической энергии (мощности), а также в случаях, предусмотренных </w:t>
      </w:r>
      <w:hyperlink w:anchor="Par706" w:history="1">
        <w:r>
          <w:rPr>
            <w:rFonts w:ascii="Arial" w:hAnsi="Arial" w:cs="Arial"/>
            <w:color w:val="0000FF"/>
            <w:sz w:val="20"/>
            <w:szCs w:val="20"/>
          </w:rPr>
          <w:t>пунктом 85</w:t>
        </w:r>
      </w:hyperlink>
      <w:r>
        <w:rPr>
          <w:rFonts w:ascii="Arial" w:hAnsi="Arial" w:cs="Arial"/>
          <w:sz w:val="20"/>
          <w:szCs w:val="20"/>
        </w:rPr>
        <w:t xml:space="preserve"> настоящего документа, начисленную ему гарантирующим поставщиком сумму компенсации в связи с изменением договора, что должно быть подтверждено оплатой счета, выставляемого гарантирующим поставщиком в соответствии с </w:t>
      </w:r>
      <w:hyperlink w:anchor="Par706" w:history="1">
        <w:r>
          <w:rPr>
            <w:rFonts w:ascii="Arial" w:hAnsi="Arial" w:cs="Arial"/>
            <w:color w:val="0000FF"/>
            <w:sz w:val="20"/>
            <w:szCs w:val="20"/>
          </w:rPr>
          <w:t>пунктом 85</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не позднее чем за 10 рабочих дней до заявляемой им даты изменения договора предоставить гарантирующему поставщику выписку из договора, обеспечивающего продажу электрической энергии (мощности), с производителем электрической энергии (мощности) на розничном рынке, содержащую сведения о продавце, а также согласованные сторонами указанные в </w:t>
      </w:r>
      <w:hyperlink w:anchor="Par569" w:history="1">
        <w:r>
          <w:rPr>
            <w:rFonts w:ascii="Arial" w:hAnsi="Arial" w:cs="Arial"/>
            <w:color w:val="0000FF"/>
            <w:sz w:val="20"/>
            <w:szCs w:val="20"/>
          </w:rPr>
          <w:t>пункте 64</w:t>
        </w:r>
      </w:hyperlink>
      <w:r>
        <w:rPr>
          <w:rFonts w:ascii="Arial" w:hAnsi="Arial" w:cs="Arial"/>
          <w:sz w:val="20"/>
          <w:szCs w:val="20"/>
        </w:rPr>
        <w:t xml:space="preserve"> настоящего документа условия, обязательные при заключении такого договора, которая должна быть подписана уполномоченными лицами сторон такого договора и заверена печатями сторон такого договора (при наличии печатей);</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294"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с даты изменения в соответствии с настоящим пунктом заключенного с гарантирующим поставщиком договора энергоснабжения оплачивать гарантирующему поставщику услуги по передаче электрической энергии в объеме, соответствующем всему объему потребления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51. Потребитель (покупатель), имеющий намерение в соответствии с </w:t>
      </w:r>
      <w:hyperlink w:anchor="Par509" w:history="1">
        <w:r>
          <w:rPr>
            <w:rFonts w:ascii="Arial" w:hAnsi="Arial" w:cs="Arial"/>
            <w:color w:val="0000FF"/>
            <w:sz w:val="20"/>
            <w:szCs w:val="20"/>
          </w:rPr>
          <w:t>пунктом 49</w:t>
        </w:r>
      </w:hyperlink>
      <w:r>
        <w:rPr>
          <w:rFonts w:ascii="Arial" w:hAnsi="Arial" w:cs="Arial"/>
          <w:sz w:val="20"/>
          <w:szCs w:val="20"/>
        </w:rPr>
        <w:t xml:space="preserve"> или </w:t>
      </w:r>
      <w:hyperlink w:anchor="Par511" w:history="1">
        <w:r>
          <w:rPr>
            <w:rFonts w:ascii="Arial" w:hAnsi="Arial" w:cs="Arial"/>
            <w:color w:val="0000FF"/>
            <w:sz w:val="20"/>
            <w:szCs w:val="20"/>
          </w:rPr>
          <w:t>50</w:t>
        </w:r>
      </w:hyperlink>
      <w:r>
        <w:rPr>
          <w:rFonts w:ascii="Arial" w:hAnsi="Arial" w:cs="Arial"/>
          <w:sz w:val="20"/>
          <w:szCs w:val="20"/>
        </w:rPr>
        <w:t xml:space="preserve"> настоящего документа в одностороннем порядке отказаться от исполнения договора энергоснабжения (купли-продажи (поставки) электрической энергии (мощности)) с гарантирующим поставщиком полностью или уменьшить объемы электрической энергии (мощности), приобретаемые у гарантирующего поставщика, обязан передать гарантирующему поставщику письменное уведомление об этом не позднее чем за 20 рабочих дней до заявляемой им даты расторжения или изменения договора способом, позволяющим подтвердить факт и дату получения указанного уведомления.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нарушении потребителем (покупателем) требования настоящего пункта об уведомлении гарантирующего поставщика в установленные сроки и (или) при нарушении им требования о выполнении условий, предусмотренных </w:t>
      </w:r>
      <w:hyperlink w:anchor="Par509" w:history="1">
        <w:r>
          <w:rPr>
            <w:rFonts w:ascii="Arial" w:hAnsi="Arial" w:cs="Arial"/>
            <w:color w:val="0000FF"/>
            <w:sz w:val="20"/>
            <w:szCs w:val="20"/>
          </w:rPr>
          <w:t>пунктами 49</w:t>
        </w:r>
      </w:hyperlink>
      <w:r>
        <w:rPr>
          <w:rFonts w:ascii="Arial" w:hAnsi="Arial" w:cs="Arial"/>
          <w:sz w:val="20"/>
          <w:szCs w:val="20"/>
        </w:rPr>
        <w:t xml:space="preserve"> или </w:t>
      </w:r>
      <w:hyperlink w:anchor="Par511" w:history="1">
        <w:r>
          <w:rPr>
            <w:rFonts w:ascii="Arial" w:hAnsi="Arial" w:cs="Arial"/>
            <w:color w:val="0000FF"/>
            <w:sz w:val="20"/>
            <w:szCs w:val="20"/>
          </w:rPr>
          <w:t>50</w:t>
        </w:r>
      </w:hyperlink>
      <w:r>
        <w:rPr>
          <w:rFonts w:ascii="Arial" w:hAnsi="Arial" w:cs="Arial"/>
          <w:sz w:val="20"/>
          <w:szCs w:val="20"/>
        </w:rPr>
        <w:t xml:space="preserve"> настоящего документа, определенные заключенным с гарантирующим поставщиком договором обязательства потребителя (покупателя) и гарантирующего поставщика сохраняются в неизменном виде вплоть до момента надлежащего выполнения указанных требований.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если гарантирующий поставщик не выставил счет в порядке, предусмотренном </w:t>
      </w:r>
      <w:hyperlink w:anchor="Par706" w:history="1">
        <w:r>
          <w:rPr>
            <w:rFonts w:ascii="Arial" w:hAnsi="Arial" w:cs="Arial"/>
            <w:color w:val="0000FF"/>
            <w:sz w:val="20"/>
            <w:szCs w:val="20"/>
          </w:rPr>
          <w:t>пунктом 85</w:t>
        </w:r>
      </w:hyperlink>
      <w:r>
        <w:rPr>
          <w:rFonts w:ascii="Arial" w:hAnsi="Arial" w:cs="Arial"/>
          <w:sz w:val="20"/>
          <w:szCs w:val="20"/>
        </w:rPr>
        <w:t xml:space="preserve"> настоящего документа, и при этом потребитель (покупатель) выполнил в установленные сроки иные, указанные в </w:t>
      </w:r>
      <w:hyperlink w:anchor="Par509" w:history="1">
        <w:r>
          <w:rPr>
            <w:rFonts w:ascii="Arial" w:hAnsi="Arial" w:cs="Arial"/>
            <w:color w:val="0000FF"/>
            <w:sz w:val="20"/>
            <w:szCs w:val="20"/>
          </w:rPr>
          <w:t>пункте 49</w:t>
        </w:r>
      </w:hyperlink>
      <w:r>
        <w:rPr>
          <w:rFonts w:ascii="Arial" w:hAnsi="Arial" w:cs="Arial"/>
          <w:sz w:val="20"/>
          <w:szCs w:val="20"/>
        </w:rPr>
        <w:t xml:space="preserve"> или </w:t>
      </w:r>
      <w:hyperlink w:anchor="Par511" w:history="1">
        <w:r>
          <w:rPr>
            <w:rFonts w:ascii="Arial" w:hAnsi="Arial" w:cs="Arial"/>
            <w:color w:val="0000FF"/>
            <w:sz w:val="20"/>
            <w:szCs w:val="20"/>
          </w:rPr>
          <w:t>50</w:t>
        </w:r>
      </w:hyperlink>
      <w:r>
        <w:rPr>
          <w:rFonts w:ascii="Arial" w:hAnsi="Arial" w:cs="Arial"/>
          <w:sz w:val="20"/>
          <w:szCs w:val="20"/>
        </w:rPr>
        <w:t xml:space="preserve"> настоящего документа требования, то от потребителя (покупателя) в целях расторжения или изменения договора не требуется подтверждение оплаты счета и договор считается расторгнутым или измененным с заявленной потребителем (покупателем) даты, что не освобождает потребителя (покупателя) от обязанности в дальнейшем оплатить гарантирующему поставщику имеющуюся задолженность.</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52.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с даты утраты гарантирующим поставщиком его статуса перейти на обслуживание: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к организации, которой присвоен статус гарантирующего поставщика, вне зависимости от соблюдения условий, предусмотренных </w:t>
      </w:r>
      <w:hyperlink w:anchor="Par509" w:history="1">
        <w:r>
          <w:rPr>
            <w:rFonts w:ascii="Arial" w:hAnsi="Arial" w:cs="Arial"/>
            <w:color w:val="0000FF"/>
            <w:sz w:val="20"/>
            <w:szCs w:val="20"/>
          </w:rPr>
          <w:t>пунктом 49</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к энергосбытовой (энергоснабжающей) организации или производителю электрической энергии (мощности) на розничном рынке при условии соблюдения установленных настоящим документом условий заключения договоров с указанными субъектами.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63" w:name="Par522"/>
      <w:bookmarkEnd w:id="63"/>
      <w:r>
        <w:rPr>
          <w:rFonts w:ascii="Arial" w:hAnsi="Arial" w:cs="Arial"/>
          <w:sz w:val="20"/>
          <w:szCs w:val="20"/>
        </w:rPr>
        <w:t xml:space="preserve">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поставщик по указанным основаниям в одностороннем порядке полностью отказывается от исполнения договора, заключенного с энергосбытовой (энергоснабжающей) организацией, исполнителем коммунальных услуг, то для обеспечения бесперебойного энергоснабжения потребителей энергосбытовой (энергоснабжающей) организации, исполнителя коммунальных услуг гарантирующий поставщик обязан обеспечить принятие их на обслуживание, организованное в установленном </w:t>
      </w:r>
      <w:hyperlink w:anchor="Par180" w:history="1">
        <w:r>
          <w:rPr>
            <w:rFonts w:ascii="Arial" w:hAnsi="Arial" w:cs="Arial"/>
            <w:color w:val="0000FF"/>
            <w:sz w:val="20"/>
            <w:szCs w:val="20"/>
          </w:rPr>
          <w:t>разделом II</w:t>
        </w:r>
      </w:hyperlink>
      <w:r>
        <w:rPr>
          <w:rFonts w:ascii="Arial" w:hAnsi="Arial" w:cs="Arial"/>
          <w:sz w:val="20"/>
          <w:szCs w:val="20"/>
        </w:rPr>
        <w:t xml:space="preserve"> настоящего документа порядке.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54. Лицо, потребляющее электрическую энергию, в отношении которого в соответствии с </w:t>
      </w:r>
      <w:hyperlink r:id="rId295" w:history="1">
        <w:r>
          <w:rPr>
            <w:rFonts w:ascii="Arial" w:hAnsi="Arial" w:cs="Arial"/>
            <w:color w:val="0000FF"/>
            <w:sz w:val="20"/>
            <w:szCs w:val="20"/>
          </w:rPr>
          <w:t>Правилами</w:t>
        </w:r>
      </w:hyperlink>
      <w:r>
        <w:rPr>
          <w:rFonts w:ascii="Arial" w:hAnsi="Arial" w:cs="Arial"/>
          <w:sz w:val="20"/>
          <w:szCs w:val="20"/>
        </w:rPr>
        <w:t xml:space="preserve"> оптового рынка принято решение о его исключении из реестра субъектов оптового рынка или о прекращении в отношении него поставки (покупки) электрической энергии и мощности на оптовом рынке, обязано при наличии у него намерения продолжить потребление электрической энергии на розничном рынке до вступления в силу указанного решения заключить договор, обеспечивающий продажу ему электрической энергии (мощности) на розничном рынке, и обеспечить урегулирование отношений, связанных с передачей ему электрической энергии. В случае если договор не заключен в указанный срок, сетевая организация принимает меры по сокращению уровня или прекращению потребления электрической энергии указанным лицом путем введения полного и (или) частичного ограничения режима потребления электрической энергии в соответствии с </w:t>
      </w:r>
      <w:hyperlink w:anchor="Par1140" w:history="1">
        <w:r>
          <w:rPr>
            <w:rFonts w:ascii="Arial" w:hAnsi="Arial" w:cs="Arial"/>
            <w:color w:val="0000FF"/>
            <w:sz w:val="20"/>
            <w:szCs w:val="20"/>
          </w:rPr>
          <w:t>пунктом 121</w:t>
        </w:r>
      </w:hyperlink>
      <w:r>
        <w:rPr>
          <w:rFonts w:ascii="Arial" w:hAnsi="Arial" w:cs="Arial"/>
          <w:sz w:val="20"/>
          <w:szCs w:val="20"/>
        </w:rPr>
        <w:t xml:space="preserve"> настоящего документа в связи с выявлением факта бездоговорного потребления.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(в ред. </w:t>
      </w:r>
      <w:hyperlink r:id="rId296"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64" w:name="Par525"/>
      <w:bookmarkEnd w:id="64"/>
      <w:r>
        <w:rPr>
          <w:rFonts w:ascii="Arial" w:hAnsi="Arial" w:cs="Arial"/>
          <w:sz w:val="20"/>
          <w:szCs w:val="20"/>
        </w:rPr>
        <w:t>55. Договор энергоснабжения (купли-продажи (поставки) электрической энергии (мощности)) с энергосбытовой (энергоснабжающей) организацией заключается в простой письменной форме и содержит следующие обязательные условия: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предмет соответствующего договора, указанный в </w:t>
      </w:r>
      <w:hyperlink w:anchor="Par306" w:history="1">
        <w:r>
          <w:rPr>
            <w:rFonts w:ascii="Arial" w:hAnsi="Arial" w:cs="Arial"/>
            <w:color w:val="0000FF"/>
            <w:sz w:val="20"/>
            <w:szCs w:val="20"/>
          </w:rPr>
          <w:t>пункте 28</w:t>
        </w:r>
      </w:hyperlink>
      <w:r>
        <w:rPr>
          <w:rFonts w:ascii="Arial" w:hAnsi="Arial" w:cs="Arial"/>
          <w:sz w:val="20"/>
          <w:szCs w:val="20"/>
        </w:rPr>
        <w:t xml:space="preserve"> или </w:t>
      </w:r>
      <w:hyperlink w:anchor="Par324" w:history="1">
        <w:r>
          <w:rPr>
            <w:rFonts w:ascii="Arial" w:hAnsi="Arial" w:cs="Arial"/>
            <w:color w:val="0000FF"/>
            <w:sz w:val="20"/>
            <w:szCs w:val="20"/>
          </w:rPr>
          <w:t>29</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существенные условия соответствующего договора, указанные в </w:t>
      </w:r>
      <w:hyperlink w:anchor="Par429" w:history="1">
        <w:r>
          <w:rPr>
            <w:rFonts w:ascii="Arial" w:hAnsi="Arial" w:cs="Arial"/>
            <w:color w:val="0000FF"/>
            <w:sz w:val="20"/>
            <w:szCs w:val="20"/>
          </w:rPr>
          <w:t>абзацах втором</w:t>
        </w:r>
      </w:hyperlink>
      <w:r>
        <w:rPr>
          <w:rFonts w:ascii="Arial" w:hAnsi="Arial" w:cs="Arial"/>
          <w:sz w:val="20"/>
          <w:szCs w:val="20"/>
        </w:rPr>
        <w:t xml:space="preserve"> - </w:t>
      </w:r>
      <w:hyperlink w:anchor="Par434" w:history="1">
        <w:r>
          <w:rPr>
            <w:rFonts w:ascii="Arial" w:hAnsi="Arial" w:cs="Arial"/>
            <w:color w:val="0000FF"/>
            <w:sz w:val="20"/>
            <w:szCs w:val="20"/>
          </w:rPr>
          <w:t>шестом</w:t>
        </w:r>
      </w:hyperlink>
      <w:r>
        <w:rPr>
          <w:rFonts w:ascii="Arial" w:hAnsi="Arial" w:cs="Arial"/>
          <w:sz w:val="20"/>
          <w:szCs w:val="20"/>
        </w:rPr>
        <w:t xml:space="preserve">, </w:t>
      </w:r>
      <w:hyperlink w:anchor="Par437" w:history="1">
        <w:r>
          <w:rPr>
            <w:rFonts w:ascii="Arial" w:hAnsi="Arial" w:cs="Arial"/>
            <w:color w:val="0000FF"/>
            <w:sz w:val="20"/>
            <w:szCs w:val="20"/>
          </w:rPr>
          <w:t>девятом</w:t>
        </w:r>
      </w:hyperlink>
      <w:r>
        <w:rPr>
          <w:rFonts w:ascii="Arial" w:hAnsi="Arial" w:cs="Arial"/>
          <w:sz w:val="20"/>
          <w:szCs w:val="20"/>
        </w:rPr>
        <w:t xml:space="preserve">, </w:t>
      </w:r>
      <w:hyperlink w:anchor="Par439" w:history="1">
        <w:r>
          <w:rPr>
            <w:rFonts w:ascii="Arial" w:hAnsi="Arial" w:cs="Arial"/>
            <w:color w:val="0000FF"/>
            <w:sz w:val="20"/>
            <w:szCs w:val="20"/>
          </w:rPr>
          <w:t>десятом</w:t>
        </w:r>
      </w:hyperlink>
      <w:r>
        <w:rPr>
          <w:rFonts w:ascii="Arial" w:hAnsi="Arial" w:cs="Arial"/>
          <w:sz w:val="20"/>
          <w:szCs w:val="20"/>
        </w:rPr>
        <w:t xml:space="preserve"> и </w:t>
      </w:r>
      <w:hyperlink w:anchor="Par445" w:history="1">
        <w:r>
          <w:rPr>
            <w:rFonts w:ascii="Arial" w:hAnsi="Arial" w:cs="Arial"/>
            <w:color w:val="0000FF"/>
            <w:sz w:val="20"/>
            <w:szCs w:val="20"/>
          </w:rPr>
          <w:t>пятнадцатом пункта 40</w:t>
        </w:r>
      </w:hyperlink>
      <w:r>
        <w:rPr>
          <w:rFonts w:ascii="Arial" w:hAnsi="Arial" w:cs="Arial"/>
          <w:sz w:val="20"/>
          <w:szCs w:val="20"/>
        </w:rPr>
        <w:t xml:space="preserve"> настоящего документа или в </w:t>
      </w:r>
      <w:hyperlink w:anchor="Par448" w:history="1">
        <w:r>
          <w:rPr>
            <w:rFonts w:ascii="Arial" w:hAnsi="Arial" w:cs="Arial"/>
            <w:color w:val="0000FF"/>
            <w:sz w:val="20"/>
            <w:szCs w:val="20"/>
          </w:rPr>
          <w:t>пункте 41</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цена, определяемая с учетом </w:t>
      </w:r>
      <w:hyperlink w:anchor="Par156" w:history="1">
        <w:r>
          <w:rPr>
            <w:rFonts w:ascii="Arial" w:hAnsi="Arial" w:cs="Arial"/>
            <w:color w:val="0000FF"/>
            <w:sz w:val="20"/>
            <w:szCs w:val="20"/>
          </w:rPr>
          <w:t>пункта 5</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объем покупки электрической энергии (мощности) по договору, которая поставляется энергосбытовой (энергоснабжающей) организацией в точках поставки по договору за расчетный период, в объеме потребления электрической энергии (мощности) за расчетный период энергопринимающими устройствами, в отношении которых заключен договор, определяемом в соответствии с </w:t>
      </w:r>
      <w:hyperlink w:anchor="Par1220" w:history="1">
        <w:r>
          <w:rPr>
            <w:rFonts w:ascii="Arial" w:hAnsi="Arial" w:cs="Arial"/>
            <w:color w:val="0000FF"/>
            <w:sz w:val="20"/>
            <w:szCs w:val="20"/>
          </w:rPr>
          <w:t>разделом X</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обязанность энергосбытовой (энергоснабжающей) организации предоставлять потребителю (покупателю) до начала исполнения договора, в течение срока его действия, а также по запросу потребителя (покупателя) указанные в </w:t>
      </w:r>
      <w:hyperlink w:anchor="Par539" w:history="1">
        <w:r>
          <w:rPr>
            <w:rFonts w:ascii="Arial" w:hAnsi="Arial" w:cs="Arial"/>
            <w:color w:val="0000FF"/>
            <w:sz w:val="20"/>
            <w:szCs w:val="20"/>
          </w:rPr>
          <w:t>пункте 56</w:t>
        </w:r>
      </w:hyperlink>
      <w:r>
        <w:rPr>
          <w:rFonts w:ascii="Arial" w:hAnsi="Arial" w:cs="Arial"/>
          <w:sz w:val="20"/>
          <w:szCs w:val="20"/>
        </w:rPr>
        <w:t xml:space="preserve"> настоящего документа информацию и документы, подтверждающие факт наличия у нее права распоряжения электрической энергией (мощностью), продажу которой она осуществляет потребителю (покупателю), как по срокам, так и по объемам продажи электрической энергии (мощности) потребителю (покупателю) по договору, информацию о порядке и сроках исполнения такой обязанности, а также о дате и времени прекращения у нее права распоряжения электрической энергией (мощностью);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определение даты и времени начала и прекращения продажи электрической энергии (мощности) по договору в соответствии с требованиями, установленными в </w:t>
      </w:r>
      <w:hyperlink w:anchor="Par539" w:history="1">
        <w:r>
          <w:rPr>
            <w:rFonts w:ascii="Arial" w:hAnsi="Arial" w:cs="Arial"/>
            <w:color w:val="0000FF"/>
            <w:sz w:val="20"/>
            <w:szCs w:val="20"/>
          </w:rPr>
          <w:t>пункте 56</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последствия отсутствия у энергосбытовой (энергоснабжающей) организации права распоряжения электрической энергией (мощностью), указанные в </w:t>
      </w:r>
      <w:hyperlink w:anchor="Par546" w:history="1">
        <w:r>
          <w:rPr>
            <w:rFonts w:ascii="Arial" w:hAnsi="Arial" w:cs="Arial"/>
            <w:color w:val="0000FF"/>
            <w:sz w:val="20"/>
            <w:szCs w:val="20"/>
          </w:rPr>
          <w:t>пункте 57</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право потребителя (покупателя), не имеющего перед энергосбытовой (энергоснабжающей) организацией задолженности по оплате электрической энергии (мощности), что подтверждено актом сверки расчетов, вступившим в силу решением суда, оплатой счета, выставляемого энергосбытовой (энергоснабжающей) организацией в соответствии с </w:t>
      </w:r>
      <w:hyperlink w:anchor="Par706" w:history="1">
        <w:r>
          <w:rPr>
            <w:rFonts w:ascii="Arial" w:hAnsi="Arial" w:cs="Arial"/>
            <w:color w:val="0000FF"/>
            <w:sz w:val="20"/>
            <w:szCs w:val="20"/>
          </w:rPr>
          <w:t>пунктом 85</w:t>
        </w:r>
      </w:hyperlink>
      <w:r>
        <w:rPr>
          <w:rFonts w:ascii="Arial" w:hAnsi="Arial" w:cs="Arial"/>
          <w:sz w:val="20"/>
          <w:szCs w:val="20"/>
        </w:rPr>
        <w:t xml:space="preserve"> настоящего документа, или иным установленным в договоре способом, в одностороннем порядке отказаться от исполнения договора полностью, что влечет его расторжение;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условия, указанные в </w:t>
      </w:r>
      <w:hyperlink w:anchor="Par337" w:history="1">
        <w:r>
          <w:rPr>
            <w:rFonts w:ascii="Arial" w:hAnsi="Arial" w:cs="Arial"/>
            <w:color w:val="0000FF"/>
            <w:sz w:val="20"/>
            <w:szCs w:val="20"/>
          </w:rPr>
          <w:t>пунктах 30</w:t>
        </w:r>
      </w:hyperlink>
      <w:r>
        <w:rPr>
          <w:rFonts w:ascii="Arial" w:hAnsi="Arial" w:cs="Arial"/>
          <w:sz w:val="20"/>
          <w:szCs w:val="20"/>
        </w:rPr>
        <w:t xml:space="preserve">, </w:t>
      </w:r>
      <w:hyperlink w:anchor="Par456" w:history="1">
        <w:r>
          <w:rPr>
            <w:rFonts w:ascii="Arial" w:hAnsi="Arial" w:cs="Arial"/>
            <w:color w:val="0000FF"/>
            <w:sz w:val="20"/>
            <w:szCs w:val="20"/>
          </w:rPr>
          <w:t>42</w:t>
        </w:r>
      </w:hyperlink>
      <w:r>
        <w:rPr>
          <w:rFonts w:ascii="Arial" w:hAnsi="Arial" w:cs="Arial"/>
          <w:sz w:val="20"/>
          <w:szCs w:val="20"/>
        </w:rPr>
        <w:t xml:space="preserve">, </w:t>
      </w:r>
      <w:hyperlink w:anchor="Par473" w:history="1">
        <w:r>
          <w:rPr>
            <w:rFonts w:ascii="Arial" w:hAnsi="Arial" w:cs="Arial"/>
            <w:color w:val="0000FF"/>
            <w:sz w:val="20"/>
            <w:szCs w:val="20"/>
          </w:rPr>
          <w:t>43</w:t>
        </w:r>
      </w:hyperlink>
      <w:r>
        <w:rPr>
          <w:rFonts w:ascii="Arial" w:hAnsi="Arial" w:cs="Arial"/>
          <w:sz w:val="20"/>
          <w:szCs w:val="20"/>
        </w:rPr>
        <w:t xml:space="preserve">, </w:t>
      </w:r>
      <w:hyperlink w:anchor="Par499" w:history="1">
        <w:r>
          <w:rPr>
            <w:rFonts w:ascii="Arial" w:hAnsi="Arial" w:cs="Arial"/>
            <w:color w:val="0000FF"/>
            <w:sz w:val="20"/>
            <w:szCs w:val="20"/>
          </w:rPr>
          <w:t>46</w:t>
        </w:r>
      </w:hyperlink>
      <w:r>
        <w:rPr>
          <w:rFonts w:ascii="Arial" w:hAnsi="Arial" w:cs="Arial"/>
          <w:sz w:val="20"/>
          <w:szCs w:val="20"/>
        </w:rPr>
        <w:t xml:space="preserve"> и </w:t>
      </w:r>
      <w:hyperlink w:anchor="Par505" w:history="1">
        <w:r>
          <w:rPr>
            <w:rFonts w:ascii="Arial" w:hAnsi="Arial" w:cs="Arial"/>
            <w:color w:val="0000FF"/>
            <w:sz w:val="20"/>
            <w:szCs w:val="20"/>
          </w:rPr>
          <w:t>48</w:t>
        </w:r>
      </w:hyperlink>
      <w:r>
        <w:rPr>
          <w:rFonts w:ascii="Arial" w:hAnsi="Arial" w:cs="Arial"/>
          <w:sz w:val="20"/>
          <w:szCs w:val="20"/>
        </w:rPr>
        <w:t xml:space="preserve">, а также в </w:t>
      </w:r>
      <w:hyperlink w:anchor="Par969" w:history="1">
        <w:r>
          <w:rPr>
            <w:rFonts w:ascii="Arial" w:hAnsi="Arial" w:cs="Arial"/>
            <w:color w:val="0000FF"/>
            <w:sz w:val="20"/>
            <w:szCs w:val="20"/>
          </w:rPr>
          <w:t>разделе VII</w:t>
        </w:r>
      </w:hyperlink>
      <w:r>
        <w:rPr>
          <w:rFonts w:ascii="Arial" w:hAnsi="Arial" w:cs="Arial"/>
          <w:sz w:val="20"/>
          <w:szCs w:val="20"/>
        </w:rPr>
        <w:t xml:space="preserve"> (при заключении договора в отношении энергопринимающих устройств потребителя, расположенных на территориях, объединенных в неценовые зоны оптового рынка)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иные установленные настоящим документом условия, обязательные при заключении договора энергоснабжения (купли-продажи (поставки) электрической энергии (мощности)) с энергосбытовой (энергоснабжающей) организацией.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договоре энергоснабжения (купли-продажи (поставки) электрической энергии (мощности)) с энергосбытовой (энергоснабжающей) организацией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297"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По соглашению между потребителем (покупателем) и энергосбытовой (энергоснабжающей) организацией в договор энергоснабжения (купли-продажи (поставки)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может быть включено условие о планировании потребителем (покупателем) объемов потребления электрической энергии по часам суток и об оплате стоимости электрической энергии в суммарном за расчетный период объеме </w:t>
      </w:r>
      <w:r>
        <w:rPr>
          <w:rFonts w:ascii="Arial" w:hAnsi="Arial" w:cs="Arial"/>
          <w:sz w:val="20"/>
          <w:szCs w:val="20"/>
        </w:rPr>
        <w:lastRenderedPageBreak/>
        <w:t>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и (или) в объеме превышений плановых почасовых объемов потребления электрической энергии потребителем (покупателем) над соответствующими фактическими почасовыми объемами покупки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65" w:name="Par539"/>
      <w:bookmarkEnd w:id="65"/>
      <w:r>
        <w:rPr>
          <w:rFonts w:ascii="Arial" w:hAnsi="Arial" w:cs="Arial"/>
          <w:sz w:val="20"/>
          <w:szCs w:val="20"/>
        </w:rPr>
        <w:t>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электрическую энергию (мощность):</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на оптовом рынке в группах точек поставки, соответствующих точкам поставки по заключенному с потребителем (покупателем) договору, обеспечивающему продажу ему электрической энергии (мощности) на розничном рынке, и это подтверждено заключенными на оптовом рынке договорами, предусмотренными договором о присоединении к торговой системе оптового рынка;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по договору с производителем электрической энергии (мощности) на розничном рынке, заключенному в соответствии с требованиями </w:t>
      </w:r>
      <w:hyperlink w:anchor="Par569" w:history="1">
        <w:r>
          <w:rPr>
            <w:rFonts w:ascii="Arial" w:hAnsi="Arial" w:cs="Arial"/>
            <w:color w:val="0000FF"/>
            <w:sz w:val="20"/>
            <w:szCs w:val="20"/>
          </w:rPr>
          <w:t>пункта 64</w:t>
        </w:r>
      </w:hyperlink>
      <w:r>
        <w:rPr>
          <w:rFonts w:ascii="Arial" w:hAnsi="Arial" w:cs="Arial"/>
          <w:sz w:val="20"/>
          <w:szCs w:val="20"/>
        </w:rPr>
        <w:t xml:space="preserve"> настоящего документа, с гарантирующим поставщиком или с энергосбытовой (энергоснабжающей) организацией, в отношении точек поставки по заключенному с потребителем (покупателем) договору, обеспечивающему продажу ему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Факт наличия у энергосбытовой (энергоснабжающей) организации права распоряжения электрической энергией (мощностью) считается подтвержденным в течение срока действия договора, если энергосбытовая (энергоснабжающая) организация продолжает приобретать электрическую энергию (мощность) по указанным договорам в отношении точек поставки по заключенному с потребителем (покупателем) договору, обеспечивающему продажу ему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Право распоряжения электрической энергией (мощностью) считается прекращенным с даты и времени, когда энергосбытовая (энергоснабжающая) организация прекратила приобретение электрической энергии (мощности) по указанным договорам в отношении точек поставки по заключенному с потребителем (покупателем) договору, обеспечивающему продажу ему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Потребитель (покупатель), который имеет намерение заключить с энергосбытовой (энергоснабжающей) организацией договор, обеспечивающий продажу ему электрической энергии (мощности) на розничном рынке, вправе запросить и получить у энергосбытовой (энергоснабжающей) организации информацию о том, каким из указанных в настоящем пункте способом, с какой даты и времени она планирует приобретать электрическую энергию (мощность) для целей исполнения будущего договора с потребителем (покупателем).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Потребитель (покупатель) также вправе направить запрос о подтверждении факта наличия у энергосбытовой (энергоснабжающей) организации указанного права распоряжения в отношении групп точек поставки, соответствующих точкам поставки по заключенному с потребителем (покупателем) договору, обеспечивающему продажу ему электрической энергии (мощности) на розничном рынке, в адрес организации коммерческой инфраструктуры оптового рынка, гарантирующего поставщика, в границах зоны деятельности которого расположены точки поставки по договору, либо в адрес энергосбытовой (энергоснабжающей) организации или производителя электрической энергии (мощности) на розничном рынке, у которых энергосбытовая (энергоснабжающая) организация, заключившая с потребителем (покупателем) договор, приобретает электрическую энергию (мощность) в целях ее продажи такому потребителю (покупателю). Организация, получившая запрос от потребителя (покупателя), обязана предоставить ему в письменной форме запрошенную информацию в течение 5 рабочих дней со дня получения указанного запроса, направив ее по указанному в запросе адресу способом, подтверждающим ее получение.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66" w:name="Par546"/>
      <w:bookmarkEnd w:id="66"/>
      <w:r>
        <w:rPr>
          <w:rFonts w:ascii="Arial" w:hAnsi="Arial" w:cs="Arial"/>
          <w:sz w:val="20"/>
          <w:szCs w:val="20"/>
        </w:rPr>
        <w:t xml:space="preserve">57. Если у энергосбытовой (энергоснабжающей) организации отсутствует или прекратилось право распоряжения электрической энергией (мощностью), поставляемой в точках поставки по договору, обеспечивающему продажу электрической энергии (мощности), то для владельца энергопринимающих устройств, в целях снабжения электрической энергией которых был заключен такой договор, наступают предусмотренные настоящим документом и иными нормативными правовыми актами последствия бездоговорного потребления электрической энергии в определяемом в соответствии с настоящим пунктом </w:t>
      </w:r>
      <w:r>
        <w:rPr>
          <w:rFonts w:ascii="Arial" w:hAnsi="Arial" w:cs="Arial"/>
          <w:sz w:val="20"/>
          <w:szCs w:val="20"/>
        </w:rPr>
        <w:lastRenderedPageBreak/>
        <w:t>объеме потребления, которое не обеспечено продажей по договору с такой энергосбытовой (энергоснабжающей) организацией.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Сетевая организация, к объектам электросетевого хозяйства которой непосредственно или опосредованно присоединены указанные энергопринимающие устройства, в течение 1 дня со дня, когда ей стало известно о факте бездоговорного потребления, направляет владельцу указанных энергопринимающих устройств уведомление, содержащее указание на отсутствие у энергосбытовой (энергоснабжающей) организации права распоряжения электрической энергией в соответствующих точках поставки по договору, с требованием: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заключить в соответствии с настоящим документом в течение 30 дней со дня получения уведомления договор, обеспечивающий продажу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оплатить электрическую энергию (мощность), потребленную указанными энергопринимающими устройствами за весь период, в течение которого осуществлялось бездоговорное потребление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невыполнении таких требований по истечении 30 дней после дня получения данного уведомления владельцем указанных энергопринимающих устройств сетевая организация принимает меры по сокращению уровня или прекращению потребления электрической энергии указанными энергопринимающими устройствами путем введения полного и (или) частичного ограничения режима потребления электрической энергии в соответствии с </w:t>
      </w:r>
      <w:hyperlink w:anchor="Par1140" w:history="1">
        <w:r>
          <w:rPr>
            <w:rFonts w:ascii="Arial" w:hAnsi="Arial" w:cs="Arial"/>
            <w:color w:val="0000FF"/>
            <w:sz w:val="20"/>
            <w:szCs w:val="20"/>
          </w:rPr>
          <w:t>пунктом 121</w:t>
        </w:r>
      </w:hyperlink>
      <w:r>
        <w:rPr>
          <w:rFonts w:ascii="Arial" w:hAnsi="Arial" w:cs="Arial"/>
          <w:sz w:val="20"/>
          <w:szCs w:val="20"/>
        </w:rPr>
        <w:t xml:space="preserve"> настоящего документа и по обеспечению оплаты владельцем указанных энергопринимающих устройств объема электрической энергии (мощности), потребленной указанными энергопринимающими устройствами за весь период, в течение которого осуществлялось бездоговорное потребление электрической энергии.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298"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Объем потребления электрической энергии (мощности) в этом случае рассчитывается в соответствии с </w:t>
      </w:r>
      <w:hyperlink w:anchor="Par1220" w:history="1">
        <w:r>
          <w:rPr>
            <w:rFonts w:ascii="Arial" w:hAnsi="Arial" w:cs="Arial"/>
            <w:color w:val="0000FF"/>
            <w:sz w:val="20"/>
            <w:szCs w:val="20"/>
          </w:rPr>
          <w:t>разделом X</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67" w:name="Par553"/>
      <w:bookmarkEnd w:id="67"/>
      <w:r>
        <w:rPr>
          <w:rFonts w:ascii="Arial" w:hAnsi="Arial" w:cs="Arial"/>
          <w:sz w:val="20"/>
          <w:szCs w:val="20"/>
        </w:rPr>
        <w:t>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осуществляющей поставку электрической энергии (мощности) такой сетевой организации (для целей компенсации потерь в ее объектах электросетевого хозяйства) и потребителям, энергопринимающие устройства которых присоединены к объектам электросетевого хозяйства такой сетевой организации, вправе приобретать электрическую энергию (мощность) у указанной энергосбытовой (энергоснабжающей) организации. Энергосбытовая (энергоснабжающая) организация не вправе отказать гарантирующему поставщику в продаже электрической энергии (мощности) в целях снабжения электрической энергией (мощностью) такого энергопринимающего устройства с даты и времени заключения гарантирующим поставщиком договора энергоснабжения (купли-продажи (поставки) электрической энергии (мощности)) в отношении такого энергопринимающего устройства до даты начала покупки гарантирующим поставщиком электрической энергии и мощности для такого энергопринимающего устройства в соответствующих точках (группах точек) поставки на оптовом рынке или по договору купли-продажи (поставки) электрической энергии (мощности) на розничном рынке.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этом случае энергосбытовая (энергоснабжающая) организация продает гарантирующему поставщику электрическую энергию (мощность) на розничном рынке в объемах потребления населением и приравненными к нему категориями потребителей - по цене, равной сумме индикативной цены на электрическую энергию для населения и приравненных к нему категорий потребителей и индикативной цены на мощность для указанных категорий потребителей, умноженной на отношение суммарного (за год) прогнозного объема мощности к суммарному (за год) прогнозному объему потребления электрической энергии указанными категориями потребителей в соответствующем субъекте Российской Федерации согласно сводному прогнозному балансу производства и поставок электрической энергии (мощности), в остальных объемах - по ценам, не превышающим средневзвешенную стоимость единицы электрической энергии (мощности), приобретаемой гарантирующим поставщиком в аналогичном объеме на оптовом рынке, включая определенную в соответствии с </w:t>
      </w:r>
      <w:hyperlink w:anchor="Par945" w:history="1">
        <w:r>
          <w:rPr>
            <w:rFonts w:ascii="Arial" w:hAnsi="Arial" w:cs="Arial"/>
            <w:color w:val="0000FF"/>
            <w:sz w:val="20"/>
            <w:szCs w:val="20"/>
          </w:rPr>
          <w:t>пунктом 101</w:t>
        </w:r>
      </w:hyperlink>
      <w:r>
        <w:rPr>
          <w:rFonts w:ascii="Arial" w:hAnsi="Arial" w:cs="Arial"/>
          <w:sz w:val="20"/>
          <w:szCs w:val="20"/>
        </w:rPr>
        <w:t xml:space="preserve"> настоящего документа плату за иные услуги, оказание которых является неотъемлемой частью процесса поставки электрической энергии потребителям.</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(в ред. </w:t>
      </w:r>
      <w:hyperlink r:id="rId299"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07.07.2017 N 810)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59 - 61. Утратили силу. - </w:t>
      </w:r>
      <w:hyperlink r:id="rId300" w:history="1">
        <w:r>
          <w:rPr>
            <w:rFonts w:ascii="Arial" w:hAnsi="Arial" w:cs="Arial"/>
            <w:color w:val="0000FF"/>
            <w:sz w:val="20"/>
            <w:szCs w:val="20"/>
          </w:rPr>
          <w:t>Постановление</w:t>
        </w:r>
      </w:hyperlink>
      <w:r>
        <w:rPr>
          <w:rFonts w:ascii="Arial" w:hAnsi="Arial" w:cs="Arial"/>
          <w:sz w:val="20"/>
          <w:szCs w:val="20"/>
        </w:rPr>
        <w:t xml:space="preserve"> Правительства РФ от 07.07.2017 N 810.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62. Производители электрической энергии (мощности) на розничных рынках участвуют на розничных рынках в отношениях по продаже электрической энергии (мощности), производимой на соответствующих объектах по производству электрической энергии (мощности), в порядке, установленном для них настоящим документом, в том числе: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производители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 с учетом положений </w:t>
      </w:r>
      <w:hyperlink w:anchor="Par569" w:history="1">
        <w:r>
          <w:rPr>
            <w:rFonts w:ascii="Arial" w:hAnsi="Arial" w:cs="Arial"/>
            <w:color w:val="0000FF"/>
            <w:sz w:val="20"/>
            <w:szCs w:val="20"/>
          </w:rPr>
          <w:t>пунктов 64</w:t>
        </w:r>
      </w:hyperlink>
      <w:r>
        <w:rPr>
          <w:rFonts w:ascii="Arial" w:hAnsi="Arial" w:cs="Arial"/>
          <w:sz w:val="20"/>
          <w:szCs w:val="20"/>
        </w:rPr>
        <w:t xml:space="preserve"> - </w:t>
      </w:r>
      <w:hyperlink w:anchor="Par626" w:history="1">
        <w:r>
          <w:rPr>
            <w:rFonts w:ascii="Arial" w:hAnsi="Arial" w:cs="Arial"/>
            <w:color w:val="0000FF"/>
            <w:sz w:val="20"/>
            <w:szCs w:val="20"/>
          </w:rPr>
          <w:t>65(2)</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301"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23.01.2015 N 47)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производители электрической энергии (мощности) на розничных рынках, функционирующих на территориях субъектов Российской Федерации, объединенных в неценовые зоны оптового рынка, - с учетом положений </w:t>
      </w:r>
      <w:hyperlink w:anchor="Par612" w:history="1">
        <w:r>
          <w:rPr>
            <w:rFonts w:ascii="Arial" w:hAnsi="Arial" w:cs="Arial"/>
            <w:color w:val="0000FF"/>
            <w:sz w:val="20"/>
            <w:szCs w:val="20"/>
          </w:rPr>
          <w:t>пунктов 65(1)</w:t>
        </w:r>
      </w:hyperlink>
      <w:r>
        <w:rPr>
          <w:rFonts w:ascii="Arial" w:hAnsi="Arial" w:cs="Arial"/>
          <w:sz w:val="20"/>
          <w:szCs w:val="20"/>
        </w:rPr>
        <w:t xml:space="preserve">, </w:t>
      </w:r>
      <w:hyperlink w:anchor="Par626" w:history="1">
        <w:r>
          <w:rPr>
            <w:rFonts w:ascii="Arial" w:hAnsi="Arial" w:cs="Arial"/>
            <w:color w:val="0000FF"/>
            <w:sz w:val="20"/>
            <w:szCs w:val="20"/>
          </w:rPr>
          <w:t>65(2)</w:t>
        </w:r>
      </w:hyperlink>
      <w:r>
        <w:rPr>
          <w:rFonts w:ascii="Arial" w:hAnsi="Arial" w:cs="Arial"/>
          <w:sz w:val="20"/>
          <w:szCs w:val="20"/>
        </w:rPr>
        <w:t xml:space="preserve"> и </w:t>
      </w:r>
      <w:hyperlink w:anchor="Par969" w:history="1">
        <w:r>
          <w:rPr>
            <w:rFonts w:ascii="Arial" w:hAnsi="Arial" w:cs="Arial"/>
            <w:color w:val="0000FF"/>
            <w:sz w:val="20"/>
            <w:szCs w:val="20"/>
          </w:rPr>
          <w:t>раздела VII</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302"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23.01.2015 N 47)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производители электрической энергии (мощности) на розничных рынках, функционирующих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с учетом положений </w:t>
      </w:r>
      <w:hyperlink w:anchor="Par1062" w:history="1">
        <w:r>
          <w:rPr>
            <w:rFonts w:ascii="Arial" w:hAnsi="Arial" w:cs="Arial"/>
            <w:color w:val="0000FF"/>
            <w:sz w:val="20"/>
            <w:szCs w:val="20"/>
          </w:rPr>
          <w:t>раздела VIII</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303"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23.01.2015 N 47)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63. В отношении субъекта розничных рынков, владеющего на праве собственности или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ином законном основании объектами электросетевого хозяйства, по которым осуществляется передача всего или части объема электрической энергии, потребляемой указанными энергопринимающими устройствами такого субъекта, в целях участия на розничных рынках в отношениях по продаже электрической энергии (мощности), произведенной на принадлежащих ему объектах по производству электрической энергии (мощности), должен быть обеспечен раздельный почасовой учет производства и собственного потребления электрической энергии в порядке, предусмотренном </w:t>
      </w:r>
      <w:hyperlink w:anchor="Par1220" w:history="1">
        <w:r>
          <w:rPr>
            <w:rFonts w:ascii="Arial" w:hAnsi="Arial" w:cs="Arial"/>
            <w:color w:val="0000FF"/>
            <w:sz w:val="20"/>
            <w:szCs w:val="20"/>
          </w:rPr>
          <w:t>разделом X</w:t>
        </w:r>
      </w:hyperlink>
      <w:r>
        <w:rPr>
          <w:rFonts w:ascii="Arial" w:hAnsi="Arial" w:cs="Arial"/>
          <w:sz w:val="20"/>
          <w:szCs w:val="20"/>
        </w:rPr>
        <w:t xml:space="preserve"> настоящего документа. Владелец соответствующих объектов по производству электрической энергии (мощности) и энергопринимающих устройств обязан обеспечить доступ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числе контрольному снятию показаний.</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304"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18.04.2020 N 554)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Под объемом продажи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выработанной им электрической энергии в каждый час превышает объем его собственного потребления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энергопринимающих устройств) такого субъекта и соответствующей сетевой организации, а также на границе балансовой принадлежности энергопринимающих устройств и (или) других объектов электроэнергетики иных лиц, присоединенных к объектам по производству электрической энергии (мощности), энергопринимающим устройствам или объектам электросетевого хозяйства такого субъекта.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Под объемом покупки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его собственного потребления электрической энергии в каждый час превышает объем выработанной им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энергопринимающих устройств) такого субъекта и соответствующей сетевой организации, а также на границе балансовой принадлежности энергопринимающих устройств и (или) других объектов электроэнергетики иных лиц, присоединенных к объектам по производству </w:t>
      </w:r>
      <w:r>
        <w:rPr>
          <w:rFonts w:ascii="Arial" w:hAnsi="Arial" w:cs="Arial"/>
          <w:sz w:val="20"/>
          <w:szCs w:val="20"/>
        </w:rPr>
        <w:lastRenderedPageBreak/>
        <w:t>электрической энергии (мощности), энергопринимающим устройствам или объектам электросетевого хозяйства такого субъекта.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63 в ред. </w:t>
      </w:r>
      <w:hyperlink r:id="rId305"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23.01.2015 N 47)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68" w:name="Par569"/>
      <w:bookmarkEnd w:id="68"/>
      <w:r>
        <w:rPr>
          <w:rFonts w:ascii="Arial" w:hAnsi="Arial" w:cs="Arial"/>
          <w:sz w:val="20"/>
          <w:szCs w:val="20"/>
        </w:rPr>
        <w:t>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306"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23.01.2015 N 47)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69" w:name="Par571"/>
      <w:bookmarkEnd w:id="69"/>
      <w:r>
        <w:rPr>
          <w:rFonts w:ascii="Arial" w:hAnsi="Arial" w:cs="Arial"/>
          <w:sz w:val="20"/>
          <w:szCs w:val="20"/>
        </w:rPr>
        <w:t>договоры купли-продажи (поставки) электрической энергии (мощности), заключенные таким производителем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307"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23.01.2015 N 47)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договоры купли-продажи (поставки) электрической энергии (мощности), заключенные таким производителем в письменной форме с гарантирующим поставщиком,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 в отношении энергопринимающих устройств (объектов электросетевого хозяйства), расположенных в границах зоны деятельности указанного гарантирующего поставщика;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308"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23.01.2015 N 47)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70" w:name="Par575"/>
      <w:bookmarkEnd w:id="70"/>
      <w:r>
        <w:rPr>
          <w:rFonts w:ascii="Arial" w:hAnsi="Arial" w:cs="Arial"/>
          <w:sz w:val="20"/>
          <w:szCs w:val="20"/>
        </w:rPr>
        <w:t>договоры купли-продажи (поставки) электрической энергии (мощности) в целях компенсации потерь электрической энергии, заключенные таким производителем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309"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23.01.2015 N 47)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71" w:name="Par577"/>
      <w:bookmarkEnd w:id="71"/>
      <w:r>
        <w:rPr>
          <w:rFonts w:ascii="Arial" w:hAnsi="Arial" w:cs="Arial"/>
          <w:sz w:val="20"/>
          <w:szCs w:val="20"/>
        </w:rPr>
        <w:t xml:space="preserve">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w:t>
      </w:r>
      <w:hyperlink w:anchor="Par612" w:history="1">
        <w:r>
          <w:rPr>
            <w:rFonts w:ascii="Arial" w:hAnsi="Arial" w:cs="Arial"/>
            <w:color w:val="0000FF"/>
            <w:sz w:val="20"/>
            <w:szCs w:val="20"/>
          </w:rPr>
          <w:t>пунктом 65(1)</w:t>
        </w:r>
      </w:hyperlink>
      <w:r>
        <w:rPr>
          <w:rFonts w:ascii="Arial" w:hAnsi="Arial" w:cs="Arial"/>
          <w:sz w:val="20"/>
          <w:szCs w:val="20"/>
        </w:rPr>
        <w:t xml:space="preserve">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310"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23.01.2015 N 47)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Условиями, обязательными при заключении договоров, предусмотренных </w:t>
      </w:r>
      <w:hyperlink w:anchor="Par571" w:history="1">
        <w:r>
          <w:rPr>
            <w:rFonts w:ascii="Arial" w:hAnsi="Arial" w:cs="Arial"/>
            <w:color w:val="0000FF"/>
            <w:sz w:val="20"/>
            <w:szCs w:val="20"/>
          </w:rPr>
          <w:t>абзацами вторым</w:t>
        </w:r>
      </w:hyperlink>
      <w:r>
        <w:rPr>
          <w:rFonts w:ascii="Arial" w:hAnsi="Arial" w:cs="Arial"/>
          <w:sz w:val="20"/>
          <w:szCs w:val="20"/>
        </w:rPr>
        <w:t xml:space="preserve"> и </w:t>
      </w:r>
      <w:hyperlink w:anchor="Par575" w:history="1">
        <w:r>
          <w:rPr>
            <w:rFonts w:ascii="Arial" w:hAnsi="Arial" w:cs="Arial"/>
            <w:color w:val="0000FF"/>
            <w:sz w:val="20"/>
            <w:szCs w:val="20"/>
          </w:rPr>
          <w:t>четвертым</w:t>
        </w:r>
      </w:hyperlink>
      <w:r>
        <w:rPr>
          <w:rFonts w:ascii="Arial" w:hAnsi="Arial" w:cs="Arial"/>
          <w:sz w:val="20"/>
          <w:szCs w:val="20"/>
        </w:rPr>
        <w:t xml:space="preserve"> настоящего пункта, с указанным производителем электрической энергии (мощности) на розничном рынке, являются: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311"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23.01.2015 N 47)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предмет соответствующего договора, указанный в </w:t>
      </w:r>
      <w:hyperlink w:anchor="Par306" w:history="1">
        <w:r>
          <w:rPr>
            <w:rFonts w:ascii="Arial" w:hAnsi="Arial" w:cs="Arial"/>
            <w:color w:val="0000FF"/>
            <w:sz w:val="20"/>
            <w:szCs w:val="20"/>
          </w:rPr>
          <w:t>пункте 28</w:t>
        </w:r>
      </w:hyperlink>
      <w:r>
        <w:rPr>
          <w:rFonts w:ascii="Arial" w:hAnsi="Arial" w:cs="Arial"/>
          <w:sz w:val="20"/>
          <w:szCs w:val="20"/>
        </w:rPr>
        <w:t xml:space="preserve"> или </w:t>
      </w:r>
      <w:hyperlink w:anchor="Par324" w:history="1">
        <w:r>
          <w:rPr>
            <w:rFonts w:ascii="Arial" w:hAnsi="Arial" w:cs="Arial"/>
            <w:color w:val="0000FF"/>
            <w:sz w:val="20"/>
            <w:szCs w:val="20"/>
          </w:rPr>
          <w:t>пункте 29</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существенные условия соответствующего договора, указанные в </w:t>
      </w:r>
      <w:hyperlink w:anchor="Par429" w:history="1">
        <w:r>
          <w:rPr>
            <w:rFonts w:ascii="Arial" w:hAnsi="Arial" w:cs="Arial"/>
            <w:color w:val="0000FF"/>
            <w:sz w:val="20"/>
            <w:szCs w:val="20"/>
          </w:rPr>
          <w:t>абзацах втором</w:t>
        </w:r>
      </w:hyperlink>
      <w:r>
        <w:rPr>
          <w:rFonts w:ascii="Arial" w:hAnsi="Arial" w:cs="Arial"/>
          <w:sz w:val="20"/>
          <w:szCs w:val="20"/>
        </w:rPr>
        <w:t xml:space="preserve"> - </w:t>
      </w:r>
      <w:hyperlink w:anchor="Par434" w:history="1">
        <w:r>
          <w:rPr>
            <w:rFonts w:ascii="Arial" w:hAnsi="Arial" w:cs="Arial"/>
            <w:color w:val="0000FF"/>
            <w:sz w:val="20"/>
            <w:szCs w:val="20"/>
          </w:rPr>
          <w:t>шестом</w:t>
        </w:r>
      </w:hyperlink>
      <w:r>
        <w:rPr>
          <w:rFonts w:ascii="Arial" w:hAnsi="Arial" w:cs="Arial"/>
          <w:sz w:val="20"/>
          <w:szCs w:val="20"/>
        </w:rPr>
        <w:t xml:space="preserve">, </w:t>
      </w:r>
      <w:hyperlink w:anchor="Par439" w:history="1">
        <w:r>
          <w:rPr>
            <w:rFonts w:ascii="Arial" w:hAnsi="Arial" w:cs="Arial"/>
            <w:color w:val="0000FF"/>
            <w:sz w:val="20"/>
            <w:szCs w:val="20"/>
          </w:rPr>
          <w:t>десятом</w:t>
        </w:r>
      </w:hyperlink>
      <w:r>
        <w:rPr>
          <w:rFonts w:ascii="Arial" w:hAnsi="Arial" w:cs="Arial"/>
          <w:sz w:val="20"/>
          <w:szCs w:val="20"/>
        </w:rPr>
        <w:t xml:space="preserve">, </w:t>
      </w:r>
      <w:hyperlink w:anchor="Par445" w:history="1">
        <w:r>
          <w:rPr>
            <w:rFonts w:ascii="Arial" w:hAnsi="Arial" w:cs="Arial"/>
            <w:color w:val="0000FF"/>
            <w:sz w:val="20"/>
            <w:szCs w:val="20"/>
          </w:rPr>
          <w:t>пятнадцатом пункта 40</w:t>
        </w:r>
      </w:hyperlink>
      <w:r>
        <w:rPr>
          <w:rFonts w:ascii="Arial" w:hAnsi="Arial" w:cs="Arial"/>
          <w:sz w:val="20"/>
          <w:szCs w:val="20"/>
        </w:rPr>
        <w:t xml:space="preserve"> настоящего документа или в </w:t>
      </w:r>
      <w:hyperlink w:anchor="Par448" w:history="1">
        <w:r>
          <w:rPr>
            <w:rFonts w:ascii="Arial" w:hAnsi="Arial" w:cs="Arial"/>
            <w:color w:val="0000FF"/>
            <w:sz w:val="20"/>
            <w:szCs w:val="20"/>
          </w:rPr>
          <w:t>пункте 41</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цена, определяемая с учетом </w:t>
      </w:r>
      <w:hyperlink w:anchor="Par156" w:history="1">
        <w:r>
          <w:rPr>
            <w:rFonts w:ascii="Arial" w:hAnsi="Arial" w:cs="Arial"/>
            <w:color w:val="0000FF"/>
            <w:sz w:val="20"/>
            <w:szCs w:val="20"/>
          </w:rPr>
          <w:t>пункта 5</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почасовые договорные объемы продажи электрической энергии (мощности) по договору;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наличие и надлежащее функционирование приборов учета, установленных в отношении объекта по производству электрической энергии (мощности) и энергопринимающих устройств (объектов электросетевого хозяйства), относительно которых заключен договор, позволяющих измерять почасовые </w:t>
      </w:r>
      <w:r>
        <w:rPr>
          <w:rFonts w:ascii="Arial" w:hAnsi="Arial" w:cs="Arial"/>
          <w:sz w:val="20"/>
          <w:szCs w:val="20"/>
        </w:rPr>
        <w:lastRenderedPageBreak/>
        <w:t xml:space="preserve">объемы производства и потребления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hyperlink w:anchor="Par1220" w:history="1">
        <w:r>
          <w:rPr>
            <w:rFonts w:ascii="Arial" w:hAnsi="Arial" w:cs="Arial"/>
            <w:color w:val="0000FF"/>
            <w:sz w:val="20"/>
            <w:szCs w:val="20"/>
          </w:rPr>
          <w:t>разделом X</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312"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18.04.2020 N 554)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определение почасовых объемов продажи электрической энергии (величины мощности) по договору за расчетный период гарантирующим поставщиком в порядке, предусмотренном </w:t>
      </w:r>
      <w:hyperlink w:anchor="Par596" w:history="1">
        <w:r>
          <w:rPr>
            <w:rFonts w:ascii="Arial" w:hAnsi="Arial" w:cs="Arial"/>
            <w:color w:val="0000FF"/>
            <w:sz w:val="20"/>
            <w:szCs w:val="20"/>
          </w:rPr>
          <w:t>пунктом 65</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дата и время начала исполнения обязательств по договору не ранее даты и времени начала исполнения указанного в </w:t>
      </w:r>
      <w:hyperlink w:anchor="Par596" w:history="1">
        <w:r>
          <w:rPr>
            <w:rFonts w:ascii="Arial" w:hAnsi="Arial" w:cs="Arial"/>
            <w:color w:val="0000FF"/>
            <w:sz w:val="20"/>
            <w:szCs w:val="20"/>
          </w:rPr>
          <w:t>пункте 65</w:t>
        </w:r>
      </w:hyperlink>
      <w:r>
        <w:rPr>
          <w:rFonts w:ascii="Arial" w:hAnsi="Arial" w:cs="Arial"/>
          <w:sz w:val="20"/>
          <w:szCs w:val="20"/>
        </w:rPr>
        <w:t xml:space="preserve"> настоящего документа договора энергоснабжения (купли-продажи (поставки) электрической энергии (мощности)), заключенного с гарантирующим поставщиком в отношении тех же энергопринимающих устройств (объектов электросетевого хозяйства), в отношении которых заключен договор;</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313"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23.01.2015 N 47)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приостановление продажи по договору в течение всего периода, в течение которого по указанному в </w:t>
      </w:r>
      <w:hyperlink w:anchor="Par596" w:history="1">
        <w:r>
          <w:rPr>
            <w:rFonts w:ascii="Arial" w:hAnsi="Arial" w:cs="Arial"/>
            <w:color w:val="0000FF"/>
            <w:sz w:val="20"/>
            <w:szCs w:val="20"/>
          </w:rPr>
          <w:t>пункте 65</w:t>
        </w:r>
      </w:hyperlink>
      <w:r>
        <w:rPr>
          <w:rFonts w:ascii="Arial" w:hAnsi="Arial" w:cs="Arial"/>
          <w:sz w:val="20"/>
          <w:szCs w:val="20"/>
        </w:rPr>
        <w:t xml:space="preserve"> настоящего документа договору энергоснабжения (купли-продажи (поставки) электрической энергии (мощности)), заключенному с гарантирующим поставщиком, введено полное ограничение режима потребления электрической энергии (мощности) в отношении энергопринимающих устройств, в отношении которых заключен договор;</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прекращение обязательств по продаже электрической энергии (мощности) по договору с даты и времени прекращения обязательств по указанному в </w:t>
      </w:r>
      <w:hyperlink w:anchor="Par596" w:history="1">
        <w:r>
          <w:rPr>
            <w:rFonts w:ascii="Arial" w:hAnsi="Arial" w:cs="Arial"/>
            <w:color w:val="0000FF"/>
            <w:sz w:val="20"/>
            <w:szCs w:val="20"/>
          </w:rPr>
          <w:t>пункте 65</w:t>
        </w:r>
      </w:hyperlink>
      <w:r>
        <w:rPr>
          <w:rFonts w:ascii="Arial" w:hAnsi="Arial" w:cs="Arial"/>
          <w:sz w:val="20"/>
          <w:szCs w:val="20"/>
        </w:rPr>
        <w:t xml:space="preserve"> настоящего документа договору энергоснабжения (купли-продажи (поставки) электрической энергии (мощности)), заключенному с гарантирующим поставщиком, а также прекращение обязательств по продаже электрической энергии (мощности) по договору с даты и времени начала покупки на оптовом рынке в отношении энергопринимающих устройств, в отношении которых заключен договор;</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условия, указанные в </w:t>
      </w:r>
      <w:hyperlink w:anchor="Par337" w:history="1">
        <w:r>
          <w:rPr>
            <w:rFonts w:ascii="Arial" w:hAnsi="Arial" w:cs="Arial"/>
            <w:color w:val="0000FF"/>
            <w:sz w:val="20"/>
            <w:szCs w:val="20"/>
          </w:rPr>
          <w:t>пунктах 30</w:t>
        </w:r>
      </w:hyperlink>
      <w:r>
        <w:rPr>
          <w:rFonts w:ascii="Arial" w:hAnsi="Arial" w:cs="Arial"/>
          <w:sz w:val="20"/>
          <w:szCs w:val="20"/>
        </w:rPr>
        <w:t xml:space="preserve">, </w:t>
      </w:r>
      <w:hyperlink w:anchor="Par473" w:history="1">
        <w:r>
          <w:rPr>
            <w:rFonts w:ascii="Arial" w:hAnsi="Arial" w:cs="Arial"/>
            <w:color w:val="0000FF"/>
            <w:sz w:val="20"/>
            <w:szCs w:val="20"/>
          </w:rPr>
          <w:t>43</w:t>
        </w:r>
      </w:hyperlink>
      <w:r>
        <w:rPr>
          <w:rFonts w:ascii="Arial" w:hAnsi="Arial" w:cs="Arial"/>
          <w:sz w:val="20"/>
          <w:szCs w:val="20"/>
        </w:rPr>
        <w:t xml:space="preserve">, </w:t>
      </w:r>
      <w:hyperlink w:anchor="Par499" w:history="1">
        <w:r>
          <w:rPr>
            <w:rFonts w:ascii="Arial" w:hAnsi="Arial" w:cs="Arial"/>
            <w:color w:val="0000FF"/>
            <w:sz w:val="20"/>
            <w:szCs w:val="20"/>
          </w:rPr>
          <w:t>46</w:t>
        </w:r>
      </w:hyperlink>
      <w:r>
        <w:rPr>
          <w:rFonts w:ascii="Arial" w:hAnsi="Arial" w:cs="Arial"/>
          <w:sz w:val="20"/>
          <w:szCs w:val="20"/>
        </w:rPr>
        <w:t xml:space="preserve"> и </w:t>
      </w:r>
      <w:hyperlink w:anchor="Par505" w:history="1">
        <w:r>
          <w:rPr>
            <w:rFonts w:ascii="Arial" w:hAnsi="Arial" w:cs="Arial"/>
            <w:color w:val="0000FF"/>
            <w:sz w:val="20"/>
            <w:szCs w:val="20"/>
          </w:rPr>
          <w:t>48</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иные установленные настоящим документом условия, обязательные при заключении договора с производителем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договорах, предусмотренных </w:t>
      </w:r>
      <w:hyperlink w:anchor="Par571" w:history="1">
        <w:r>
          <w:rPr>
            <w:rFonts w:ascii="Arial" w:hAnsi="Arial" w:cs="Arial"/>
            <w:color w:val="0000FF"/>
            <w:sz w:val="20"/>
            <w:szCs w:val="20"/>
          </w:rPr>
          <w:t>абзацем вторым</w:t>
        </w:r>
      </w:hyperlink>
      <w:r>
        <w:rPr>
          <w:rFonts w:ascii="Arial" w:hAnsi="Arial" w:cs="Arial"/>
          <w:sz w:val="20"/>
          <w:szCs w:val="20"/>
        </w:rPr>
        <w:t xml:space="preserve"> настоящего пункта, заключаемых с потребителями,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314"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72" w:name="Par596"/>
      <w:bookmarkEnd w:id="72"/>
      <w:r>
        <w:rPr>
          <w:rFonts w:ascii="Arial" w:hAnsi="Arial" w:cs="Arial"/>
          <w:sz w:val="20"/>
          <w:szCs w:val="20"/>
        </w:rPr>
        <w:t xml:space="preserve">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w:t>
      </w:r>
      <w:hyperlink w:anchor="Par571" w:history="1">
        <w:r>
          <w:rPr>
            <w:rFonts w:ascii="Arial" w:hAnsi="Arial" w:cs="Arial"/>
            <w:color w:val="0000FF"/>
            <w:sz w:val="20"/>
            <w:szCs w:val="20"/>
          </w:rPr>
          <w:t>абзацах втором</w:t>
        </w:r>
      </w:hyperlink>
      <w:r>
        <w:rPr>
          <w:rFonts w:ascii="Arial" w:hAnsi="Arial" w:cs="Arial"/>
          <w:sz w:val="20"/>
          <w:szCs w:val="20"/>
        </w:rPr>
        <w:t xml:space="preserve">, </w:t>
      </w:r>
      <w:hyperlink w:anchor="Par575" w:history="1">
        <w:r>
          <w:rPr>
            <w:rFonts w:ascii="Arial" w:hAnsi="Arial" w:cs="Arial"/>
            <w:color w:val="0000FF"/>
            <w:sz w:val="20"/>
            <w:szCs w:val="20"/>
          </w:rPr>
          <w:t>четвертом</w:t>
        </w:r>
      </w:hyperlink>
      <w:r>
        <w:rPr>
          <w:rFonts w:ascii="Arial" w:hAnsi="Arial" w:cs="Arial"/>
          <w:sz w:val="20"/>
          <w:szCs w:val="20"/>
        </w:rPr>
        <w:t xml:space="preserve"> или </w:t>
      </w:r>
      <w:hyperlink w:anchor="Par577" w:history="1">
        <w:r>
          <w:rPr>
            <w:rFonts w:ascii="Arial" w:hAnsi="Arial" w:cs="Arial"/>
            <w:color w:val="0000FF"/>
            <w:sz w:val="20"/>
            <w:szCs w:val="20"/>
          </w:rPr>
          <w:t>пятом пункта 64</w:t>
        </w:r>
      </w:hyperlink>
      <w:r>
        <w:rPr>
          <w:rFonts w:ascii="Arial" w:hAnsi="Arial" w:cs="Arial"/>
          <w:sz w:val="20"/>
          <w:szCs w:val="20"/>
        </w:rPr>
        <w:t xml:space="preserve">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электросетевого хозяйства).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Это условие может быть исполнено как путем заключения с гарантирующим поставщиком нового договора энергоснабжения (купли-продажи (поставки) электрической энергии (мощности), так и путем реализации в порядке, установленном </w:t>
      </w:r>
      <w:hyperlink w:anchor="Par511" w:history="1">
        <w:r>
          <w:rPr>
            <w:rFonts w:ascii="Arial" w:hAnsi="Arial" w:cs="Arial"/>
            <w:color w:val="0000FF"/>
            <w:sz w:val="20"/>
            <w:szCs w:val="20"/>
          </w:rPr>
          <w:t>пунктом 50</w:t>
        </w:r>
      </w:hyperlink>
      <w:r>
        <w:rPr>
          <w:rFonts w:ascii="Arial" w:hAnsi="Arial" w:cs="Arial"/>
          <w:sz w:val="20"/>
          <w:szCs w:val="20"/>
        </w:rPr>
        <w:t xml:space="preserve"> настоящего документа, права на уменьшение объемов электрической энергии (мощности), приобретаемых у гарантирующего поставщика по ранее заключенному договору.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Объем покупки электрической энергии (мощности), поставляемой гарантирующим поставщиком по такому договору энергоснабжения (купли-продажи (поставки) электрической энергии (мощности) в отношении энергопринимающих устройств, определяется гарантирующим поставщиком не позднее 15-го числа месяца, следующего за расчетным, как сумма за расчетный период величин превышения фактического почасового объема потребления электрической энергии (мощности) энергопринимающими устройствами над почасовым объемом продажи электрической энергии (мощности), определенным </w:t>
      </w:r>
      <w:r>
        <w:rPr>
          <w:rFonts w:ascii="Arial" w:hAnsi="Arial" w:cs="Arial"/>
          <w:sz w:val="20"/>
          <w:szCs w:val="20"/>
        </w:rPr>
        <w:lastRenderedPageBreak/>
        <w:t xml:space="preserve">гарантирующим поставщиком в порядке, установленном настоящим пунктом, за тот же час по договорам, указанным в </w:t>
      </w:r>
      <w:hyperlink w:anchor="Par571" w:history="1">
        <w:r>
          <w:rPr>
            <w:rFonts w:ascii="Arial" w:hAnsi="Arial" w:cs="Arial"/>
            <w:color w:val="0000FF"/>
            <w:sz w:val="20"/>
            <w:szCs w:val="20"/>
          </w:rPr>
          <w:t>абзаце втором пункта 64</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Объем покупки электрической энергии (мощности), поставляемой гарантирующим поставщиком по договору купли-продажи (поставки) электрической энергии (мощности) в целях компенсации потерь электрической энергии в объектах электросетевого хозяйства сетевой организации, определяется гарантирующим поставщиком не позднее 15-го числа месяца, следующего за расчетным, как величина превышения за расчетный период фактического объема электрической энергии (мощности), подлежащей покупке соответствующей сетевой организацией для целей компенсации потерь электрической энергии, определенного в соответствии с </w:t>
      </w:r>
      <w:hyperlink w:anchor="Par1220" w:history="1">
        <w:r>
          <w:rPr>
            <w:rFonts w:ascii="Arial" w:hAnsi="Arial" w:cs="Arial"/>
            <w:color w:val="0000FF"/>
            <w:sz w:val="20"/>
            <w:szCs w:val="20"/>
          </w:rPr>
          <w:t>разделом X</w:t>
        </w:r>
      </w:hyperlink>
      <w:r>
        <w:rPr>
          <w:rFonts w:ascii="Arial" w:hAnsi="Arial" w:cs="Arial"/>
          <w:sz w:val="20"/>
          <w:szCs w:val="20"/>
        </w:rPr>
        <w:t xml:space="preserve"> настоящего документа, над суммой объема продажи электрической энергии (мощности) за расчетный период, определенного в соответствии с </w:t>
      </w:r>
      <w:hyperlink w:anchor="Par626" w:history="1">
        <w:r>
          <w:rPr>
            <w:rFonts w:ascii="Arial" w:hAnsi="Arial" w:cs="Arial"/>
            <w:color w:val="0000FF"/>
            <w:sz w:val="20"/>
            <w:szCs w:val="20"/>
          </w:rPr>
          <w:t>пунктом 65(2)</w:t>
        </w:r>
      </w:hyperlink>
      <w:r>
        <w:rPr>
          <w:rFonts w:ascii="Arial" w:hAnsi="Arial" w:cs="Arial"/>
          <w:sz w:val="20"/>
          <w:szCs w:val="20"/>
        </w:rPr>
        <w:t xml:space="preserve"> настоящего документа, и суммарного за расчетный период объема продажи электрической энергии (мощности), определенного гарантирующим поставщиком в порядке, установленном настоящим пунктом, по договору, указанному в </w:t>
      </w:r>
      <w:hyperlink w:anchor="Par575" w:history="1">
        <w:r>
          <w:rPr>
            <w:rFonts w:ascii="Arial" w:hAnsi="Arial" w:cs="Arial"/>
            <w:color w:val="0000FF"/>
            <w:sz w:val="20"/>
            <w:szCs w:val="20"/>
          </w:rPr>
          <w:t>абзаце четвертом пункта 64</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Почасовой объем продажи электрической энергии (мощности) для каждого часа по указанному в </w:t>
      </w:r>
      <w:hyperlink w:anchor="Par571" w:history="1">
        <w:r>
          <w:rPr>
            <w:rFonts w:ascii="Arial" w:hAnsi="Arial" w:cs="Arial"/>
            <w:color w:val="0000FF"/>
            <w:sz w:val="20"/>
            <w:szCs w:val="20"/>
          </w:rPr>
          <w:t>абзаце втором пункта 64</w:t>
        </w:r>
      </w:hyperlink>
      <w:r>
        <w:rPr>
          <w:rFonts w:ascii="Arial" w:hAnsi="Arial" w:cs="Arial"/>
          <w:sz w:val="20"/>
          <w:szCs w:val="20"/>
        </w:rPr>
        <w:t xml:space="preserve"> настоящего документа договору определяется гарантирующим поставщиком не позднее 7-го числа месяца, следующего за расчетным периодом, на основании показаний указанных в таком договоре приборов учета, установленных в отношении объекта по производству электрической энергии (мощности) и энергопринимающих устройств, в отношении которых заключен договор, переданных каждой стороной договора гарантирующему поставщику в сроки, установленные </w:t>
      </w:r>
      <w:hyperlink w:anchor="Par1220" w:history="1">
        <w:r>
          <w:rPr>
            <w:rFonts w:ascii="Arial" w:hAnsi="Arial" w:cs="Arial"/>
            <w:color w:val="0000FF"/>
            <w:sz w:val="20"/>
            <w:szCs w:val="20"/>
          </w:rPr>
          <w:t>разделом X</w:t>
        </w:r>
      </w:hyperlink>
      <w:r>
        <w:rPr>
          <w:rFonts w:ascii="Arial" w:hAnsi="Arial" w:cs="Arial"/>
          <w:sz w:val="20"/>
          <w:szCs w:val="20"/>
        </w:rPr>
        <w:t xml:space="preserve"> настоящего документа, как минимум из следующих величин:</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315"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18.04.2020 N 554)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почасовой договорный объем продажи электрической энергии (мощности) по договору, указанному в </w:t>
      </w:r>
      <w:hyperlink w:anchor="Par571" w:history="1">
        <w:r>
          <w:rPr>
            <w:rFonts w:ascii="Arial" w:hAnsi="Arial" w:cs="Arial"/>
            <w:color w:val="0000FF"/>
            <w:sz w:val="20"/>
            <w:szCs w:val="20"/>
          </w:rPr>
          <w:t>абзаце втором пункта 64</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фактический почасовой объем производства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указанным в </w:t>
      </w:r>
      <w:hyperlink w:anchor="Par571" w:history="1">
        <w:r>
          <w:rPr>
            <w:rFonts w:ascii="Arial" w:hAnsi="Arial" w:cs="Arial"/>
            <w:color w:val="0000FF"/>
            <w:sz w:val="20"/>
            <w:szCs w:val="20"/>
          </w:rPr>
          <w:t>абзацах втором</w:t>
        </w:r>
      </w:hyperlink>
      <w:r>
        <w:rPr>
          <w:rFonts w:ascii="Arial" w:hAnsi="Arial" w:cs="Arial"/>
          <w:sz w:val="20"/>
          <w:szCs w:val="20"/>
        </w:rPr>
        <w:t xml:space="preserve"> и </w:t>
      </w:r>
      <w:hyperlink w:anchor="Par575" w:history="1">
        <w:r>
          <w:rPr>
            <w:rFonts w:ascii="Arial" w:hAnsi="Arial" w:cs="Arial"/>
            <w:color w:val="0000FF"/>
            <w:sz w:val="20"/>
            <w:szCs w:val="20"/>
          </w:rPr>
          <w:t>четвертом пункта 64</w:t>
        </w:r>
      </w:hyperlink>
      <w:r>
        <w:rPr>
          <w:rFonts w:ascii="Arial" w:hAnsi="Arial" w:cs="Arial"/>
          <w:sz w:val="20"/>
          <w:szCs w:val="20"/>
        </w:rPr>
        <w:t xml:space="preserve"> настоящего документа договорам, заключенным в отношении указанного объекта по производству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фактический почасовой объем потребления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указанным в </w:t>
      </w:r>
      <w:hyperlink w:anchor="Par571" w:history="1">
        <w:r>
          <w:rPr>
            <w:rFonts w:ascii="Arial" w:hAnsi="Arial" w:cs="Arial"/>
            <w:color w:val="0000FF"/>
            <w:sz w:val="20"/>
            <w:szCs w:val="20"/>
          </w:rPr>
          <w:t>абзаце втором пункта 64</w:t>
        </w:r>
      </w:hyperlink>
      <w:r>
        <w:rPr>
          <w:rFonts w:ascii="Arial" w:hAnsi="Arial" w:cs="Arial"/>
          <w:sz w:val="20"/>
          <w:szCs w:val="20"/>
        </w:rPr>
        <w:t xml:space="preserve"> настоящего документа договорам, заключенным в отношении указанных энергопринимающих устройств.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Почасовой объем продажи электрической энергии (мощности) для каждого часа по указанному в </w:t>
      </w:r>
      <w:hyperlink w:anchor="Par575" w:history="1">
        <w:r>
          <w:rPr>
            <w:rFonts w:ascii="Arial" w:hAnsi="Arial" w:cs="Arial"/>
            <w:color w:val="0000FF"/>
            <w:sz w:val="20"/>
            <w:szCs w:val="20"/>
          </w:rPr>
          <w:t>абзаце четвертом пункта 64</w:t>
        </w:r>
      </w:hyperlink>
      <w:r>
        <w:rPr>
          <w:rFonts w:ascii="Arial" w:hAnsi="Arial" w:cs="Arial"/>
          <w:sz w:val="20"/>
          <w:szCs w:val="20"/>
        </w:rPr>
        <w:t xml:space="preserve"> настоящего документа договору определяется гарантирующим поставщиком не позднее 15-го числа месяца, следующего за расчетным, на основании показаний указанных в таком договоре приборов учета, установленных в отношении объекта по производству электрической энергии (мощности) и объектов электросетевого хозяйства, в отношении которых заключен договор, переданных каждой стороной договора гарантирующему поставщику в сроки, установленные </w:t>
      </w:r>
      <w:hyperlink w:anchor="Par1220" w:history="1">
        <w:r>
          <w:rPr>
            <w:rFonts w:ascii="Arial" w:hAnsi="Arial" w:cs="Arial"/>
            <w:color w:val="0000FF"/>
            <w:sz w:val="20"/>
            <w:szCs w:val="20"/>
          </w:rPr>
          <w:t>разделом X</w:t>
        </w:r>
      </w:hyperlink>
      <w:r>
        <w:rPr>
          <w:rFonts w:ascii="Arial" w:hAnsi="Arial" w:cs="Arial"/>
          <w:sz w:val="20"/>
          <w:szCs w:val="20"/>
        </w:rPr>
        <w:t xml:space="preserve"> настоящего документа, и с учетом объема продажи электрической энергии (мощности), определенного в отношении указанных объектов электросетевого хозяйства в соответствии с </w:t>
      </w:r>
      <w:hyperlink w:anchor="Par626" w:history="1">
        <w:r>
          <w:rPr>
            <w:rFonts w:ascii="Arial" w:hAnsi="Arial" w:cs="Arial"/>
            <w:color w:val="0000FF"/>
            <w:sz w:val="20"/>
            <w:szCs w:val="20"/>
          </w:rPr>
          <w:t>пунктом 65(2)</w:t>
        </w:r>
      </w:hyperlink>
      <w:r>
        <w:rPr>
          <w:rFonts w:ascii="Arial" w:hAnsi="Arial" w:cs="Arial"/>
          <w:sz w:val="20"/>
          <w:szCs w:val="20"/>
        </w:rPr>
        <w:t xml:space="preserve"> настоящего документа, как минимум из следующих величин:</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316"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18.04.2020 N 554)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почасовой договорный объем продажи электрической энергии (мощности) по договору, указанному в </w:t>
      </w:r>
      <w:hyperlink w:anchor="Par575" w:history="1">
        <w:r>
          <w:rPr>
            <w:rFonts w:ascii="Arial" w:hAnsi="Arial" w:cs="Arial"/>
            <w:color w:val="0000FF"/>
            <w:sz w:val="20"/>
            <w:szCs w:val="20"/>
          </w:rPr>
          <w:t>абзаце четвертом пункта 64</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произведение отношения почасового договорного объема к сумме почасовых договорных объемов за соответствующий час по всем указанным в </w:t>
      </w:r>
      <w:hyperlink w:anchor="Par571" w:history="1">
        <w:r>
          <w:rPr>
            <w:rFonts w:ascii="Arial" w:hAnsi="Arial" w:cs="Arial"/>
            <w:color w:val="0000FF"/>
            <w:sz w:val="20"/>
            <w:szCs w:val="20"/>
          </w:rPr>
          <w:t>абзацах втором</w:t>
        </w:r>
      </w:hyperlink>
      <w:r>
        <w:rPr>
          <w:rFonts w:ascii="Arial" w:hAnsi="Arial" w:cs="Arial"/>
          <w:sz w:val="20"/>
          <w:szCs w:val="20"/>
        </w:rPr>
        <w:t xml:space="preserve"> и </w:t>
      </w:r>
      <w:hyperlink w:anchor="Par575" w:history="1">
        <w:r>
          <w:rPr>
            <w:rFonts w:ascii="Arial" w:hAnsi="Arial" w:cs="Arial"/>
            <w:color w:val="0000FF"/>
            <w:sz w:val="20"/>
            <w:szCs w:val="20"/>
          </w:rPr>
          <w:t>четвертом пункта 64</w:t>
        </w:r>
      </w:hyperlink>
      <w:r>
        <w:rPr>
          <w:rFonts w:ascii="Arial" w:hAnsi="Arial" w:cs="Arial"/>
          <w:sz w:val="20"/>
          <w:szCs w:val="20"/>
        </w:rPr>
        <w:t xml:space="preserve"> настоящего документа договорам, заключенным в отношении указанного объекта по производству электрической энергии (мощности), и фактического почасового объема производства электрической энергии (мощности), уменьшенного на сумму объемов продажи электрической энергии (мощности) по всем указанным в </w:t>
      </w:r>
      <w:hyperlink w:anchor="Par571" w:history="1">
        <w:r>
          <w:rPr>
            <w:rFonts w:ascii="Arial" w:hAnsi="Arial" w:cs="Arial"/>
            <w:color w:val="0000FF"/>
            <w:sz w:val="20"/>
            <w:szCs w:val="20"/>
          </w:rPr>
          <w:t>абзаце втором пункта 64</w:t>
        </w:r>
      </w:hyperlink>
      <w:r>
        <w:rPr>
          <w:rFonts w:ascii="Arial" w:hAnsi="Arial" w:cs="Arial"/>
          <w:sz w:val="20"/>
          <w:szCs w:val="20"/>
        </w:rPr>
        <w:t xml:space="preserve"> настоящего документа договорам за соответствующий час и объема продажи электрической энергии (мощности), определенного в соответствии с </w:t>
      </w:r>
      <w:hyperlink w:anchor="Par626" w:history="1">
        <w:r>
          <w:rPr>
            <w:rFonts w:ascii="Arial" w:hAnsi="Arial" w:cs="Arial"/>
            <w:color w:val="0000FF"/>
            <w:sz w:val="20"/>
            <w:szCs w:val="20"/>
          </w:rPr>
          <w:t>пунктом 65(2)</w:t>
        </w:r>
      </w:hyperlink>
      <w:r>
        <w:rPr>
          <w:rFonts w:ascii="Arial" w:hAnsi="Arial" w:cs="Arial"/>
          <w:sz w:val="20"/>
          <w:szCs w:val="20"/>
        </w:rPr>
        <w:t xml:space="preserve"> настоящего документа, умноженного на отношение фактического почасового объема производства электрической энергии (мощности) указанного объекта по производству электрической энергии (мощности) к сумме таких почасовых объемов за соответствующий расчетный период;</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произведение отношения почасового договорного объема к сумме почасовых договорных объемов за соответствующий час по всем указанным в </w:t>
      </w:r>
      <w:hyperlink w:anchor="Par575" w:history="1">
        <w:r>
          <w:rPr>
            <w:rFonts w:ascii="Arial" w:hAnsi="Arial" w:cs="Arial"/>
            <w:color w:val="0000FF"/>
            <w:sz w:val="20"/>
            <w:szCs w:val="20"/>
          </w:rPr>
          <w:t>абзаце четвертом пункта 64</w:t>
        </w:r>
      </w:hyperlink>
      <w:r>
        <w:rPr>
          <w:rFonts w:ascii="Arial" w:hAnsi="Arial" w:cs="Arial"/>
          <w:sz w:val="20"/>
          <w:szCs w:val="20"/>
        </w:rPr>
        <w:t xml:space="preserve"> настоящего документа договорам, заключенным в отношении указанных объектов электросетевого хозяйства, и величины превышения фактического объема электрической энергии (мощности), подлежащей покупке соответствующей сетевой организацией для целей компенсации потерь электрической энергии, определенного в соответствии с </w:t>
      </w:r>
      <w:hyperlink w:anchor="Par1220" w:history="1">
        <w:r>
          <w:rPr>
            <w:rFonts w:ascii="Arial" w:hAnsi="Arial" w:cs="Arial"/>
            <w:color w:val="0000FF"/>
            <w:sz w:val="20"/>
            <w:szCs w:val="20"/>
          </w:rPr>
          <w:t>разделом X</w:t>
        </w:r>
      </w:hyperlink>
      <w:r>
        <w:rPr>
          <w:rFonts w:ascii="Arial" w:hAnsi="Arial" w:cs="Arial"/>
          <w:sz w:val="20"/>
          <w:szCs w:val="20"/>
        </w:rPr>
        <w:t xml:space="preserve"> настоящего документа за соответствующий час, над объемами покупки электрической энергии (мощности) за расчетный период, определенными в соответствии с </w:t>
      </w:r>
      <w:hyperlink w:anchor="Par626" w:history="1">
        <w:r>
          <w:rPr>
            <w:rFonts w:ascii="Arial" w:hAnsi="Arial" w:cs="Arial"/>
            <w:color w:val="0000FF"/>
            <w:sz w:val="20"/>
            <w:szCs w:val="20"/>
          </w:rPr>
          <w:t>пунктом 65(2)</w:t>
        </w:r>
      </w:hyperlink>
      <w:r>
        <w:rPr>
          <w:rFonts w:ascii="Arial" w:hAnsi="Arial" w:cs="Arial"/>
          <w:sz w:val="20"/>
          <w:szCs w:val="20"/>
        </w:rPr>
        <w:t xml:space="preserve"> настоящего документа по всем договорам, заключенным в соответствии с </w:t>
      </w:r>
      <w:hyperlink w:anchor="Par612" w:history="1">
        <w:r>
          <w:rPr>
            <w:rFonts w:ascii="Arial" w:hAnsi="Arial" w:cs="Arial"/>
            <w:color w:val="0000FF"/>
            <w:sz w:val="20"/>
            <w:szCs w:val="20"/>
          </w:rPr>
          <w:t>пунктом 65(1)</w:t>
        </w:r>
      </w:hyperlink>
      <w:r>
        <w:rPr>
          <w:rFonts w:ascii="Arial" w:hAnsi="Arial" w:cs="Arial"/>
          <w:sz w:val="20"/>
          <w:szCs w:val="20"/>
        </w:rPr>
        <w:t xml:space="preserve"> настоящего документа, и распределенными по часам расчетного периода пропорционально фактическим почасовым объемам производства электрической энергии (мощности) соответствующими объектами по производству электрической энергии (мощности), в отношении которых заключены указанные договоры.</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Производитель электрической энергии (мощности) на розничном рынке продает электрическую энергию (мощность) в объеме, равном сумме за расчетный период величин превышения фактического почасового объема производства электрической энергии (мощности), уменьшенного на объем продажи электрической энергии (мощности) за расчетный период, определенный в соответствии с </w:t>
      </w:r>
      <w:hyperlink w:anchor="Par626" w:history="1">
        <w:r>
          <w:rPr>
            <w:rFonts w:ascii="Arial" w:hAnsi="Arial" w:cs="Arial"/>
            <w:color w:val="0000FF"/>
            <w:sz w:val="20"/>
            <w:szCs w:val="20"/>
          </w:rPr>
          <w:t>пунктом 65(2)</w:t>
        </w:r>
      </w:hyperlink>
      <w:r>
        <w:rPr>
          <w:rFonts w:ascii="Arial" w:hAnsi="Arial" w:cs="Arial"/>
          <w:sz w:val="20"/>
          <w:szCs w:val="20"/>
        </w:rPr>
        <w:t xml:space="preserve"> настоящего документа и распределенный по часам расчетного периода пропорционально такому фактическому почасовому объему производства электрической энергии, над почасовым объемом продажи электрической энергии (мощности), поставленной за тот же час по договорам, указанным в </w:t>
      </w:r>
      <w:hyperlink w:anchor="Par571" w:history="1">
        <w:r>
          <w:rPr>
            <w:rFonts w:ascii="Arial" w:hAnsi="Arial" w:cs="Arial"/>
            <w:color w:val="0000FF"/>
            <w:sz w:val="20"/>
            <w:szCs w:val="20"/>
          </w:rPr>
          <w:t>абзацах втором</w:t>
        </w:r>
      </w:hyperlink>
      <w:r>
        <w:rPr>
          <w:rFonts w:ascii="Arial" w:hAnsi="Arial" w:cs="Arial"/>
          <w:sz w:val="20"/>
          <w:szCs w:val="20"/>
        </w:rPr>
        <w:t xml:space="preserve"> и </w:t>
      </w:r>
      <w:hyperlink w:anchor="Par575" w:history="1">
        <w:r>
          <w:rPr>
            <w:rFonts w:ascii="Arial" w:hAnsi="Arial" w:cs="Arial"/>
            <w:color w:val="0000FF"/>
            <w:sz w:val="20"/>
            <w:szCs w:val="20"/>
          </w:rPr>
          <w:t>четвертом пункта 64</w:t>
        </w:r>
      </w:hyperlink>
      <w:r>
        <w:rPr>
          <w:rFonts w:ascii="Arial" w:hAnsi="Arial" w:cs="Arial"/>
          <w:sz w:val="20"/>
          <w:szCs w:val="20"/>
        </w:rPr>
        <w:t xml:space="preserve"> настоящего документа, гарантирующему поставщику, в границах зоны деятельности которого расположены точки поставки, в которых исполняются обязательства такого производителя по поставке электрической энергии (мощности). Электрическая энергия (мощность) в указанном объеме оплачивается гарантирующим поставщиком по ценам, не превышающим соответственно дифференцированную по часам расчетного периода нерегулируемую цену на электрическую энергию на оптовом рынке по результатам конкурентного отбора ценовых заявок на сутки вперед и средневзвешенную нерегулируемую цену на мощность на оптовом рынке, которые определяются коммерческим оператором для соответствующего гарантирующего поставщика за соответствующий расчетный период.</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65 в ред. </w:t>
      </w:r>
      <w:hyperlink r:id="rId317"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23.01.2015 N 47)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73" w:name="Par612"/>
      <w:bookmarkEnd w:id="73"/>
      <w:r>
        <w:rPr>
          <w:rFonts w:ascii="Arial" w:hAnsi="Arial" w:cs="Arial"/>
          <w:sz w:val="20"/>
          <w:szCs w:val="20"/>
        </w:rPr>
        <w:t xml:space="preserve">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точки поставки производителя электрической энергии (мощности), владеющего на праве собственности или на ином законном основании указанными квалифицированными генерирующими объектами, приобретают в первую очередь в целях компенсации потерь электрическую энергию (мощность), произведенную на квалифицированных генерирующих объектах на основе использования возобновляемых источников энергии или торфа, в порядке, установленном </w:t>
      </w:r>
      <w:hyperlink w:anchor="Par626" w:history="1">
        <w:r>
          <w:rPr>
            <w:rFonts w:ascii="Arial" w:hAnsi="Arial" w:cs="Arial"/>
            <w:color w:val="0000FF"/>
            <w:sz w:val="20"/>
            <w:szCs w:val="20"/>
          </w:rPr>
          <w:t>пунктом 65(2)</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318"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28.10.2017 N 1311)</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Реализация электрической энергии (мощности), произведенной на квалифицированных генерирующих объектах на основе использования возобновляемых источников энергии или торфа и поставляемой сетевым организациям, указанным в настоящем пункте, осуществляется по договорам купли-продажи (поставки) электрической энергии (мощности) в целях компенсации потерь электрической энергии, указанным в </w:t>
      </w:r>
      <w:hyperlink w:anchor="Par577" w:history="1">
        <w:r>
          <w:rPr>
            <w:rFonts w:ascii="Arial" w:hAnsi="Arial" w:cs="Arial"/>
            <w:color w:val="0000FF"/>
            <w:sz w:val="20"/>
            <w:szCs w:val="20"/>
          </w:rPr>
          <w:t>абзаце пятом пункта 64</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319"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28.10.2017 N 1311)</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 договору купли-продажи (поставки) электрической энергии (мощности) в целях компенсации потерь электрической энергии производитель электрической энергии (мощности), владеющий на праве собственности или на ином законном основании квалифицированным генерирующим объектом, обязуется осуществлять продажу электрической энергии (мощности), а сетевая организация обязуется принимать и оплачивать приобретаемую электрическую энергию (мощность).</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Обязательными условиями таких договоров являются: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точка (точки) поставки по договору;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дата и время начала исполнения обязательств по договору;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производства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hyperlink w:anchor="Par1220" w:history="1">
        <w:r>
          <w:rPr>
            <w:rFonts w:ascii="Arial" w:hAnsi="Arial" w:cs="Arial"/>
            <w:color w:val="0000FF"/>
            <w:sz w:val="20"/>
            <w:szCs w:val="20"/>
          </w:rPr>
          <w:t>разделом X</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320"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18.04.2020 N 554)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anchor="Par626" w:history="1">
        <w:r>
          <w:rPr>
            <w:rFonts w:ascii="Arial" w:hAnsi="Arial" w:cs="Arial"/>
            <w:color w:val="0000FF"/>
            <w:sz w:val="20"/>
            <w:szCs w:val="20"/>
          </w:rPr>
          <w:t>пунктом 65(2)</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порядок определения стоимости поставленной по договору за расчетный период электрической энергии (мощности), предусмотренный </w:t>
      </w:r>
      <w:hyperlink w:anchor="Par675" w:history="1">
        <w:r>
          <w:rPr>
            <w:rFonts w:ascii="Arial" w:hAnsi="Arial" w:cs="Arial"/>
            <w:color w:val="0000FF"/>
            <w:sz w:val="20"/>
            <w:szCs w:val="20"/>
          </w:rPr>
          <w:t>пунктом 78(1)</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право сетевой организации отказаться в одностороннем порядке от исполнения договора в отношении квалифицированного генерирующего объекта, при условии оплаты стоимости поставленной по договору электрической энергии (мощности) до момента расторжения договора, с даты прекращения действия квалификационного свидетельства, выданного советом рынка в соответствии с </w:t>
      </w:r>
      <w:hyperlink r:id="rId321" w:history="1">
        <w:r>
          <w:rPr>
            <w:rFonts w:ascii="Arial" w:hAnsi="Arial" w:cs="Arial"/>
            <w:color w:val="0000FF"/>
            <w:sz w:val="20"/>
            <w:szCs w:val="20"/>
          </w:rPr>
          <w:t>Правилами</w:t>
        </w:r>
      </w:hyperlink>
      <w:r>
        <w:rPr>
          <w:rFonts w:ascii="Arial" w:hAnsi="Arial" w:cs="Arial"/>
          <w:sz w:val="20"/>
          <w:szCs w:val="20"/>
        </w:rPr>
        <w:t xml:space="preserve"> квалификации генерирующего объекта, функционирующего на основе использования возобновляемых источников энергии, утвержденными постановлением Правительства Российской Федерации от 3 июня 2008 г. N 426 "О квалификации генерирующего объекта, функционирующего на основе использования возобновляемых источников энергии".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65(1) введен </w:t>
      </w:r>
      <w:hyperlink r:id="rId322"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23.01.2015 N 47)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74" w:name="Par626"/>
      <w:bookmarkEnd w:id="74"/>
      <w:r>
        <w:rPr>
          <w:rFonts w:ascii="Arial" w:hAnsi="Arial" w:cs="Arial"/>
          <w:sz w:val="20"/>
          <w:szCs w:val="20"/>
        </w:rPr>
        <w:t xml:space="preserve">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основе использования возобновляемых источников энергии или торфа квалифицированными генерирующими объектами,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w:t>
      </w:r>
      <w:hyperlink w:anchor="Par612" w:history="1">
        <w:r>
          <w:rPr>
            <w:rFonts w:ascii="Arial" w:hAnsi="Arial" w:cs="Arial"/>
            <w:color w:val="0000FF"/>
            <w:sz w:val="20"/>
            <w:szCs w:val="20"/>
          </w:rPr>
          <w:t>пункте 65(1)</w:t>
        </w:r>
      </w:hyperlink>
      <w:r>
        <w:rPr>
          <w:rFonts w:ascii="Arial" w:hAnsi="Arial" w:cs="Arial"/>
          <w:sz w:val="20"/>
          <w:szCs w:val="20"/>
        </w:rPr>
        <w:t xml:space="preserve"> настоящего документа, в срок не позднее 15-го числа месяца, следующего за расчетным периодом, последовательно, начиная с квалифицированного генерирующего объекта, в отношении которого советом рынка в соответствии с </w:t>
      </w:r>
      <w:hyperlink r:id="rId323" w:history="1">
        <w:r>
          <w:rPr>
            <w:rFonts w:ascii="Arial" w:hAnsi="Arial" w:cs="Arial"/>
            <w:color w:val="0000FF"/>
            <w:sz w:val="20"/>
            <w:szCs w:val="20"/>
          </w:rPr>
          <w:t>Правилами</w:t>
        </w:r>
      </w:hyperlink>
      <w:r>
        <w:rPr>
          <w:rFonts w:ascii="Arial" w:hAnsi="Arial" w:cs="Arial"/>
          <w:sz w:val="20"/>
          <w:szCs w:val="20"/>
        </w:rPr>
        <w:t xml:space="preserve"> квалификации генерирующего объекта, функционирующего на основе использования возобновляемых источников энергии, утвержденными постановлением Правительства Российской Федерации от 3 июня 2008 г. N 426 "О квалификации генерирующего объекта, функционирующего на основе использования возобновляемых источников энергии", выдано квалификационное свидетельство с более ранней датой.</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324"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28.10.2017 N 1311)</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этом в отношении каждого квалифицированного генерирующего объекта, точки поставки которого расположены в зоне деятельности гарантирующего поставщика, в первую очередь определяется объем продажи электрической энергии (мощности) за расчетный период, произведенной на основе использования возобновляемых источников энергии или торфа таким объектом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генерирующих объект, во вторую очередь - объем продажи электрической энергии (мощности) за расчетный период, произведенной на основе использования возобновляемых источников энергии или торфа таким объектом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зоне деятельности гарантирующего поставщика.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325"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28.10.2017 N 1311)</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75" w:name="Par630"/>
      <w:bookmarkEnd w:id="75"/>
      <w:r>
        <w:rPr>
          <w:rFonts w:ascii="Arial" w:hAnsi="Arial" w:cs="Arial"/>
          <w:sz w:val="20"/>
          <w:szCs w:val="20"/>
        </w:rPr>
        <w:t xml:space="preserve">Объем продажи электрической энергии (мощности) за расчетный период, произведенной на основе использования возобновляемых источников энергии или торфа квалифицированным генерирующим объектом, точки поставки которого расположены в зоне деятельности гарантирующего поставщика, в целях компенсации потерь электрической энергии в расположенных в зоне деятельности гарантирующего </w:t>
      </w:r>
      <w:r>
        <w:rPr>
          <w:rFonts w:ascii="Arial" w:hAnsi="Arial" w:cs="Arial"/>
          <w:sz w:val="20"/>
          <w:szCs w:val="20"/>
        </w:rPr>
        <w:lastRenderedPageBreak/>
        <w:t>поставщика объектах электросетевого хозяйства сетевой организации, к которым непосредственно присоединен такой генерирующий объект, определяется как минимум из следующих величин:</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326"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28.10.2017 N 1311)</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организации за расчетный период;</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предельный объем продажи электрической энергии (мощности), произведенной на основе использования возобновляемых источников энергии или торфа, подлежащий покупке сетевыми организациями в целях компенсации потерь, указанный в уведомлении, полученном гарантирующим поставщиком от совета рынка в соответствии с </w:t>
      </w:r>
      <w:hyperlink r:id="rId327" w:history="1">
        <w:r>
          <w:rPr>
            <w:rFonts w:ascii="Arial" w:hAnsi="Arial" w:cs="Arial"/>
            <w:color w:val="0000FF"/>
            <w:sz w:val="20"/>
            <w:szCs w:val="20"/>
          </w:rPr>
          <w:t>Правилами</w:t>
        </w:r>
      </w:hyperlink>
      <w:r>
        <w:rPr>
          <w:rFonts w:ascii="Arial" w:hAnsi="Arial" w:cs="Arial"/>
          <w:sz w:val="20"/>
          <w:szCs w:val="20"/>
        </w:rPr>
        <w:t xml:space="preserve"> ведения реестра выдачи и погашения сертификатов, подтверждающих объем производства электрической энергии на функционирующих на основе использования возобновляемых источников энергии квалифицированных генерирующих объектах, утвержденными постановлением Правительства Российской Федерации от 17 февраля 2014 г. N 117 "О некоторых вопросах, связанных с сертификацией объемов электрической энергии, производимой на функционирующих на основе использования возобновляемых источников энергии квалифицированных генерирующих объектах" (далее - Правила ведения реестра выдачи и погашения сертификатов).</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328"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28.10.2017 N 1311)</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Объем продажи электрической энергии (мощности) за расчетный период, произведенной на квалифицированном генерирующем объекте на основе использования возобновляемых источников энергии или торфа, точки поставки которого расположены в зоне деятельности гарантирующего поставщика,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зоне деятельности гарантирующего поставщика, определяется как минимум из следующих величин:</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329"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28.10.2017 N 1311)</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организации за расчетный период;</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величина превышения предельного объема продажи электрической энергии (мощности), произведенной на основе использования возобновляемых источников энергии или торфа, подлежащего покупке сетевыми организациями в целях компенсации потерь, указанного в уведомлении, полученном гарантирующим поставщиком от совета рынка в соответствии с </w:t>
      </w:r>
      <w:hyperlink r:id="rId330" w:history="1">
        <w:r>
          <w:rPr>
            <w:rFonts w:ascii="Arial" w:hAnsi="Arial" w:cs="Arial"/>
            <w:color w:val="0000FF"/>
            <w:sz w:val="20"/>
            <w:szCs w:val="20"/>
          </w:rPr>
          <w:t>Правилами</w:t>
        </w:r>
      </w:hyperlink>
      <w:r>
        <w:rPr>
          <w:rFonts w:ascii="Arial" w:hAnsi="Arial" w:cs="Arial"/>
          <w:sz w:val="20"/>
          <w:szCs w:val="20"/>
        </w:rPr>
        <w:t xml:space="preserve"> ведения реестра выдачи и погашения сертификатов, над объемом продажи электрической энергии (мощности), определенным в отношении такого квалифицированного генерирующего объекта в соответствии с </w:t>
      </w:r>
      <w:hyperlink w:anchor="Par630" w:history="1">
        <w:r>
          <w:rPr>
            <w:rFonts w:ascii="Arial" w:hAnsi="Arial" w:cs="Arial"/>
            <w:color w:val="0000FF"/>
            <w:sz w:val="20"/>
            <w:szCs w:val="20"/>
          </w:rPr>
          <w:t>абзацем третьим</w:t>
        </w:r>
      </w:hyperlink>
      <w:r>
        <w:rPr>
          <w:rFonts w:ascii="Arial" w:hAnsi="Arial" w:cs="Arial"/>
          <w:sz w:val="20"/>
          <w:szCs w:val="20"/>
        </w:rPr>
        <w:t xml:space="preserve"> настоящего пункта.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331"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28.10.2017 N 1311)</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в настоящем пункте объектах электросетевого хозяйства сетевой организации за расчетный период, равен величине превышения объема электрической энергии (мощности), подлежащей покупке соответствующей сетевой организацией для целей компенсации фактических потерь электрической энергии, возникших в принадлежащих ей объектах электросетевого хозяйства за расчетный период, определенного в соответствии с </w:t>
      </w:r>
      <w:hyperlink w:anchor="Par1220" w:history="1">
        <w:r>
          <w:rPr>
            <w:rFonts w:ascii="Arial" w:hAnsi="Arial" w:cs="Arial"/>
            <w:color w:val="0000FF"/>
            <w:sz w:val="20"/>
            <w:szCs w:val="20"/>
          </w:rPr>
          <w:t>разделом X</w:t>
        </w:r>
      </w:hyperlink>
      <w:r>
        <w:rPr>
          <w:rFonts w:ascii="Arial" w:hAnsi="Arial" w:cs="Arial"/>
          <w:sz w:val="20"/>
          <w:szCs w:val="20"/>
        </w:rPr>
        <w:t xml:space="preserve"> настоящего документа, над суммой определенных в соответствии с настоящим пунктом объемов продажи электрической энергии (мощности) за расчетный период, произведенной на квалифицированных генерирующих объектах с более ранними датами выдачи квалификационных свидетельств.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Объемы продажи электрической энергии (мощности) за расчетный период, произведенной на квалифицированном генерирующем объекте, определяемые в соответствии с настоящим пунктом, принимаются равными нулю в случае непредставления советом рынка соответствующего уведомления согласно </w:t>
      </w:r>
      <w:hyperlink r:id="rId332" w:history="1">
        <w:r>
          <w:rPr>
            <w:rFonts w:ascii="Arial" w:hAnsi="Arial" w:cs="Arial"/>
            <w:color w:val="0000FF"/>
            <w:sz w:val="20"/>
            <w:szCs w:val="20"/>
          </w:rPr>
          <w:t>Правилам</w:t>
        </w:r>
      </w:hyperlink>
      <w:r>
        <w:rPr>
          <w:rFonts w:ascii="Arial" w:hAnsi="Arial" w:cs="Arial"/>
          <w:sz w:val="20"/>
          <w:szCs w:val="20"/>
        </w:rPr>
        <w:t xml:space="preserve"> ведения реестра выдачи и погашения сертификатов.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Гарантирующий поставщик в срок не позднее 15-го числа месяца, следующего за расчетным периодом, публикует на своем официальном сайте в сети "Интернет" информацию о наименованиях сетевых организаций, указанных в </w:t>
      </w:r>
      <w:hyperlink w:anchor="Par612" w:history="1">
        <w:r>
          <w:rPr>
            <w:rFonts w:ascii="Arial" w:hAnsi="Arial" w:cs="Arial"/>
            <w:color w:val="0000FF"/>
            <w:sz w:val="20"/>
            <w:szCs w:val="20"/>
          </w:rPr>
          <w:t>пункте 65(1)</w:t>
        </w:r>
      </w:hyperlink>
      <w:r>
        <w:rPr>
          <w:rFonts w:ascii="Arial" w:hAnsi="Arial" w:cs="Arial"/>
          <w:sz w:val="20"/>
          <w:szCs w:val="20"/>
        </w:rPr>
        <w:t xml:space="preserve"> настоящего документа, и об определенных в соответствии с настоящим пунктом объемах продажи электрической энергии (мощности) каждой из указанных сетевых организаций за расчетный период, произведенной на каждом квалифицированном генерирующем объекте, точки поставки которого расположены в зоне деятельности гарантирующего поставщика, а также направляет указанную информацию соответствующим сетевым организациям и производителям электрической энергии (мощности) на розничных рынках.</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65(2) введен </w:t>
      </w:r>
      <w:hyperlink r:id="rId333"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23.01.2015 N 47)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66. В случае если объекты по производству электрической энергии (мощности) и энергопринимающие устройства, принадлежащие на праве собственности или ином законном основании одному лицу, соединены между собой объектами электросетевого хозяйства иных лиц и расположены в границах зоны деятельности одного гарантирующего поставщика, то владелец указанных объектов по производству электрической энергии (мощности) и энергопринимающих устройств покупает (продает) электрическую энергию (мощность) на розничном рынке в объеме, соответствующем разнице почасовых объемов собственного потребления и производства, по заключенным им договорам.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этом услуги по передаче электрической энергии, услуги по оперативно-диспетчерскому управлению в электроэнергетике, а также иные услуги, оказание которых является неотъемлемой частью процесса поставки электрической энергии потребителям, оплачиваются указанным владельцем исходя из полного объема потребления электрической энергии принадлежащими ему энергопринимающими устройствами.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67. Утратил силу. - </w:t>
      </w:r>
      <w:hyperlink r:id="rId334" w:history="1">
        <w:r>
          <w:rPr>
            <w:rFonts w:ascii="Arial" w:hAnsi="Arial" w:cs="Arial"/>
            <w:color w:val="0000FF"/>
            <w:sz w:val="20"/>
            <w:szCs w:val="20"/>
          </w:rPr>
          <w:t>Постановление</w:t>
        </w:r>
      </w:hyperlink>
      <w:r>
        <w:rPr>
          <w:rFonts w:ascii="Arial" w:hAnsi="Arial" w:cs="Arial"/>
          <w:sz w:val="20"/>
          <w:szCs w:val="20"/>
        </w:rPr>
        <w:t xml:space="preserve"> Правительства РФ от 23.01.2015 N 47.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68. Исполнитель коммунальной услуги в лице управляющей организации, товарищества собственников жилья, жилищного, жилищно-строительного или иного специализированного потребительского кооператива в целях оказания потребителям коммунальной услуги по электроснабжению (коммунальной услуги по отоплению и (или) горячему водоснабжению, предоставляемой исполнителем коммунальной услуги с использованием электрической энергии при отсутствии централизованных теплоснабжения и (или) горячего водоснабжения) заключает договор энергоснабжения с гарантирующим поставщиком или энергосбытовой (энергоснабжающей) организацией в соответствии с настоящим документом и </w:t>
      </w:r>
      <w:hyperlink r:id="rId335" w:history="1">
        <w:r>
          <w:rPr>
            <w:rFonts w:ascii="Arial" w:hAnsi="Arial" w:cs="Arial"/>
            <w:color w:val="0000FF"/>
            <w:sz w:val="20"/>
            <w:szCs w:val="20"/>
          </w:rPr>
          <w:t>Правилами</w:t>
        </w:r>
      </w:hyperlink>
      <w:r>
        <w:rPr>
          <w:rFonts w:ascii="Arial" w:hAnsi="Arial" w:cs="Arial"/>
          <w:sz w:val="20"/>
          <w:szCs w:val="20"/>
        </w:rP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76" w:name="Par648"/>
      <w:bookmarkEnd w:id="76"/>
      <w:r>
        <w:rPr>
          <w:rFonts w:ascii="Arial" w:hAnsi="Arial" w:cs="Arial"/>
          <w:sz w:val="20"/>
          <w:szCs w:val="20"/>
        </w:rPr>
        <w:t xml:space="preserve">69. Потребители коммунальной услуги по электроснабжению - собственники и пользователи помещений в многоквартирных домах и жилых домов в порядке и в случаях, установленных </w:t>
      </w:r>
      <w:hyperlink r:id="rId336" w:history="1">
        <w:r>
          <w:rPr>
            <w:rFonts w:ascii="Arial" w:hAnsi="Arial" w:cs="Arial"/>
            <w:color w:val="0000FF"/>
            <w:sz w:val="20"/>
            <w:szCs w:val="20"/>
          </w:rPr>
          <w:t>Правилами</w:t>
        </w:r>
      </w:hyperlink>
      <w:r>
        <w:rPr>
          <w:rFonts w:ascii="Arial" w:hAnsi="Arial" w:cs="Arial"/>
          <w:sz w:val="20"/>
          <w:szCs w:val="20"/>
        </w:rPr>
        <w:t xml:space="preserve"> предоставления коммунальных услуг собственникам и пользователям помещений в многоквартирных домах и жилых домов, заключают договоры энергоснабжения с гарантирующим поставщиком.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70. Собственник нежилого помещения в многоквартирном доме заключает в соответствии с настоящим документом договор энергоснабжения (купли-продажи (поставки) электрической энергии (мощности)) с гарантирующим поставщиком или энергосбытовой (энергоснабжающей) организацией, за исключением случая, когда собственник нежилого помещения в соответствии с </w:t>
      </w:r>
      <w:hyperlink r:id="rId337" w:history="1">
        <w:r>
          <w:rPr>
            <w:rFonts w:ascii="Arial" w:hAnsi="Arial" w:cs="Arial"/>
            <w:color w:val="0000FF"/>
            <w:sz w:val="20"/>
            <w:szCs w:val="20"/>
          </w:rPr>
          <w:t>Правилами</w:t>
        </w:r>
      </w:hyperlink>
      <w:r>
        <w:rPr>
          <w:rFonts w:ascii="Arial" w:hAnsi="Arial" w:cs="Arial"/>
          <w:sz w:val="20"/>
          <w:szCs w:val="20"/>
        </w:rPr>
        <w:t xml:space="preserve"> предоставления коммунальных услуг собственникам и пользователям помещений в многоквартирных домах и жилых домов приобретает коммунальную услугу по энергоснабжению у исполнителя коммунальных услуг в лице управляющей организации или товарищества собственников жилья, жилищного, жилищно-строительного или иного специализированного потребительского кооператива.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77" w:name="Par650"/>
      <w:bookmarkEnd w:id="77"/>
      <w:r>
        <w:rPr>
          <w:rFonts w:ascii="Arial" w:hAnsi="Arial" w:cs="Arial"/>
          <w:sz w:val="20"/>
          <w:szCs w:val="20"/>
        </w:rPr>
        <w:t xml:space="preserve">71. Граждане - потребители электрической энергии, за исключением граждан, указанных в </w:t>
      </w:r>
      <w:hyperlink w:anchor="Par648" w:history="1">
        <w:r>
          <w:rPr>
            <w:rFonts w:ascii="Arial" w:hAnsi="Arial" w:cs="Arial"/>
            <w:color w:val="0000FF"/>
            <w:sz w:val="20"/>
            <w:szCs w:val="20"/>
          </w:rPr>
          <w:t>пункте 69</w:t>
        </w:r>
      </w:hyperlink>
      <w:r>
        <w:rPr>
          <w:rFonts w:ascii="Arial" w:hAnsi="Arial" w:cs="Arial"/>
          <w:sz w:val="20"/>
          <w:szCs w:val="20"/>
        </w:rPr>
        <w:t xml:space="preserve">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78" w:name="Par651"/>
      <w:bookmarkEnd w:id="78"/>
      <w:r>
        <w:rPr>
          <w:rFonts w:ascii="Arial" w:hAnsi="Arial" w:cs="Arial"/>
          <w:sz w:val="20"/>
          <w:szCs w:val="20"/>
        </w:rPr>
        <w:t xml:space="preserve">72. Действие договора энергоснабжения между гарантирующим поставщиком и гражданином, указанным в </w:t>
      </w:r>
      <w:hyperlink w:anchor="Par650" w:history="1">
        <w:r>
          <w:rPr>
            <w:rFonts w:ascii="Arial" w:hAnsi="Arial" w:cs="Arial"/>
            <w:color w:val="0000FF"/>
            <w:sz w:val="20"/>
            <w:szCs w:val="20"/>
          </w:rPr>
          <w:t>пункте 71</w:t>
        </w:r>
      </w:hyperlink>
      <w:r>
        <w:rPr>
          <w:rFonts w:ascii="Arial" w:hAnsi="Arial" w:cs="Arial"/>
          <w:sz w:val="20"/>
          <w:szCs w:val="20"/>
        </w:rPr>
        <w:t xml:space="preserve"> настоящего документа, не ставится в зависимость от факта составления документа, подписанного сторонами в письменной форме.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Договор энергоснабжения между гарантирующим поставщиком и указанным гражданином может быть заключен также путем совершения этим гражданином, энергопринимающие устройства которого расположены в зоне деятельности гарантирующего поставщика, указанных в настоящем пункте действий, свидетельствующих о начале фактического потребления им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73. Наличие заключенного гражданином, указанным в </w:t>
      </w:r>
      <w:hyperlink w:anchor="Par650" w:history="1">
        <w:r>
          <w:rPr>
            <w:rFonts w:ascii="Arial" w:hAnsi="Arial" w:cs="Arial"/>
            <w:color w:val="0000FF"/>
            <w:sz w:val="20"/>
            <w:szCs w:val="20"/>
          </w:rPr>
          <w:t>пункте 71</w:t>
        </w:r>
      </w:hyperlink>
      <w:r>
        <w:rPr>
          <w:rFonts w:ascii="Arial" w:hAnsi="Arial" w:cs="Arial"/>
          <w:sz w:val="20"/>
          <w:szCs w:val="20"/>
        </w:rPr>
        <w:t xml:space="preserve"> настоящего документа, договора энергоснабжения с гарантирующим поставщиком подтверждается документом об оплате этим гражданином потребленной им электрической энергии, в котором указаны наименование и платежные реквизиты гарантирующего поставщика, осуществляющего энергоснабжение, период, за который внесена плата, и адрес местонахождения энергопринимающего устройства, потребление электрической энергии которым оплачивается. Кроме того, по желанию гражданина в документе могут быть указаны фамилия, имя и отчество этого гражданина.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этом случае договор энергоснабжения с гарантирующим поставщиком считается заключенным на условиях, предусмотренных настоящим документом, с даты, соответствующей дате начала периода, за который гражданином произведена первая оплата электрической энергии этому гарантирующему поставщику.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выявления факта потребления электрической энергии гражданином до даты начала расчетного периода, за который им произведена первая оплата гарантирующему поставщику, или при выявлении факта потребления электрической энергии этим гражданином без ее оплаты договор энергоснабжения между гарантирующим поставщиком и указанным гражданином считается заключенным с даты технологического присоединения его энергопринимающего устройства к электрической сети в зоне деятельности такого гарантирующего поставщика или с даты приобретения указанным гражданином права собственности или иного законного права на это энергопринимающее устройство либо с даты присвоения статуса гарантирующего поставщика соответствующей организации (в зависимости от того, какая дата наступила позднее), но не более чем за 3 года до выявления указанного факта.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Указанный гражданин, государственные и муниципальные органы, сетевые организации и исполнители коммунальных услуг представляют гарантирующему поставщику сведения об указанном гражданине, необходимые для исполнения договора энергоснабжения, с соблюдением требований законодательства Российской Федерации о защите персональных данных.</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79" w:name="Par657"/>
      <w:bookmarkEnd w:id="79"/>
      <w:r>
        <w:rPr>
          <w:rFonts w:ascii="Arial" w:hAnsi="Arial" w:cs="Arial"/>
          <w:sz w:val="20"/>
          <w:szCs w:val="20"/>
        </w:rPr>
        <w:t xml:space="preserve">74. В случае если гражданин, указанный в </w:t>
      </w:r>
      <w:hyperlink w:anchor="Par650" w:history="1">
        <w:r>
          <w:rPr>
            <w:rFonts w:ascii="Arial" w:hAnsi="Arial" w:cs="Arial"/>
            <w:color w:val="0000FF"/>
            <w:sz w:val="20"/>
            <w:szCs w:val="20"/>
          </w:rPr>
          <w:t>пункте 71</w:t>
        </w:r>
      </w:hyperlink>
      <w:r>
        <w:rPr>
          <w:rFonts w:ascii="Arial" w:hAnsi="Arial" w:cs="Arial"/>
          <w:sz w:val="20"/>
          <w:szCs w:val="20"/>
        </w:rPr>
        <w:t xml:space="preserve"> настоящего документа, имеет намерение заключить в простой письменной форме договор энергоснабжения с гарантирующим поставщиком, то он направляет гарантирующему поставщику, в зоне деятельности которого расположены энергопринимающие устройства такого гражданина, заявление о заключении соответствующего договора с приложением к нему имеющихся у него на дату направления заявления документов из числа указанных в </w:t>
      </w:r>
      <w:hyperlink w:anchor="Par360" w:history="1">
        <w:r>
          <w:rPr>
            <w:rFonts w:ascii="Arial" w:hAnsi="Arial" w:cs="Arial"/>
            <w:color w:val="0000FF"/>
            <w:sz w:val="20"/>
            <w:szCs w:val="20"/>
          </w:rPr>
          <w:t>пункте 34</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По желанию указанный гражданин вправе приложить к заявлению на заключение договора подписанный им проект договора энергоснабжения или протокол разногласий к проекту договора энергоснабжения, форма которого размещена (опубликована) гарантирующим поставщиком в соответствии с </w:t>
      </w:r>
      <w:hyperlink w:anchor="Par353" w:history="1">
        <w:r>
          <w:rPr>
            <w:rFonts w:ascii="Arial" w:hAnsi="Arial" w:cs="Arial"/>
            <w:color w:val="0000FF"/>
            <w:sz w:val="20"/>
            <w:szCs w:val="20"/>
          </w:rPr>
          <w:t>пунктом 33</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Если представленных этим гражданином документов недостаточно для подтверждения выполнения условий, необходимых для заключения договора в соответствии с </w:t>
      </w:r>
      <w:hyperlink w:anchor="Par360" w:history="1">
        <w:r>
          <w:rPr>
            <w:rFonts w:ascii="Arial" w:hAnsi="Arial" w:cs="Arial"/>
            <w:color w:val="0000FF"/>
            <w:sz w:val="20"/>
            <w:szCs w:val="20"/>
          </w:rPr>
          <w:t>пунктом 34</w:t>
        </w:r>
      </w:hyperlink>
      <w:r>
        <w:rPr>
          <w:rFonts w:ascii="Arial" w:hAnsi="Arial" w:cs="Arial"/>
          <w:sz w:val="20"/>
          <w:szCs w:val="20"/>
        </w:rPr>
        <w:t xml:space="preserve"> настоящего документа, и у такого гражданина отсутствуют соответствующие документы, соблюдение указанных условий должно быть проверено гарантирующим поставщиком самостоятельно.</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Договор энергоснабжения, заключенный между гарантирующим поставщиком и указанным гражданином в письменной форме, должен соответствовать настоящему документу.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75. Договором энергоснабжения между гарантирующим поставщиком и гражданином, указанным в </w:t>
      </w:r>
      <w:hyperlink w:anchor="Par650" w:history="1">
        <w:r>
          <w:rPr>
            <w:rFonts w:ascii="Arial" w:hAnsi="Arial" w:cs="Arial"/>
            <w:color w:val="0000FF"/>
            <w:sz w:val="20"/>
            <w:szCs w:val="20"/>
          </w:rPr>
          <w:t>пункте 71</w:t>
        </w:r>
      </w:hyperlink>
      <w:r>
        <w:rPr>
          <w:rFonts w:ascii="Arial" w:hAnsi="Arial" w:cs="Arial"/>
          <w:sz w:val="20"/>
          <w:szCs w:val="20"/>
        </w:rPr>
        <w:t xml:space="preserve"> настоящего документа, должен быть определен порядок возврата или перечисления организацией, утратившей статус гарантирующего поставщика, по заявлению такого гражданина, направленному в письменной форме в ее адрес, суммы платежей, излишне внесенных указанным гражданином по договору, обязательства по которому прекращаются.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Обязательства гарантирующего поставщика по продаже электрической энергии (мощности) и обязательства указанного гражданина по ее оплате по договору энергоснабжения, заключенному не в </w:t>
      </w:r>
      <w:r>
        <w:rPr>
          <w:rFonts w:ascii="Arial" w:hAnsi="Arial" w:cs="Arial"/>
          <w:sz w:val="20"/>
          <w:szCs w:val="20"/>
        </w:rPr>
        <w:lastRenderedPageBreak/>
        <w:t>письменной форме, прекращаются с даты присвоения статуса гарантирующего поставщика в соответствующей зоне деятельности другой организации либо с даты начала исполнения заключенного указанным гражданином договора, обеспечивающего продажу ему электрической энергии (мощности), с энергосбытовой (энергоснабжающей) организацией.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76. Гарантирующий поставщик не вправе устанавливать в договорах энергоснабжения с гражданами, указанными в </w:t>
      </w:r>
      <w:hyperlink w:anchor="Par650" w:history="1">
        <w:r>
          <w:rPr>
            <w:rFonts w:ascii="Arial" w:hAnsi="Arial" w:cs="Arial"/>
            <w:color w:val="0000FF"/>
            <w:sz w:val="20"/>
            <w:szCs w:val="20"/>
          </w:rPr>
          <w:t>пункте 71</w:t>
        </w:r>
      </w:hyperlink>
      <w:r>
        <w:rPr>
          <w:rFonts w:ascii="Arial" w:hAnsi="Arial" w:cs="Arial"/>
          <w:sz w:val="20"/>
          <w:szCs w:val="20"/>
        </w:rPr>
        <w:t xml:space="preserve"> настоящего документа, иные требования к приборам учета электрической энергии, кроме требований, предусмотренных </w:t>
      </w:r>
      <w:hyperlink w:anchor="Par1220" w:history="1">
        <w:r>
          <w:rPr>
            <w:rFonts w:ascii="Arial" w:hAnsi="Arial" w:cs="Arial"/>
            <w:color w:val="0000FF"/>
            <w:sz w:val="20"/>
            <w:szCs w:val="20"/>
          </w:rPr>
          <w:t>разделом X</w:t>
        </w:r>
      </w:hyperlink>
      <w:r>
        <w:rPr>
          <w:rFonts w:ascii="Arial" w:hAnsi="Arial" w:cs="Arial"/>
          <w:sz w:val="20"/>
          <w:szCs w:val="20"/>
        </w:rPr>
        <w:t xml:space="preserve"> настоящего документа и иными нормативными правовыми актами. При этом установка приборов учета электрической энергии осуществляется лицом, на которое в соответствии с законодательством Российской Федерации об электроэнергетике возложена такая обязанность.</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76 в ред. </w:t>
      </w:r>
      <w:hyperlink r:id="rId338"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18.04.2020 N 554)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77. При возникновении у гражданина, указанного в </w:t>
      </w:r>
      <w:hyperlink w:anchor="Par650" w:history="1">
        <w:r>
          <w:rPr>
            <w:rFonts w:ascii="Arial" w:hAnsi="Arial" w:cs="Arial"/>
            <w:color w:val="0000FF"/>
            <w:sz w:val="20"/>
            <w:szCs w:val="20"/>
          </w:rPr>
          <w:t>пункте 71</w:t>
        </w:r>
      </w:hyperlink>
      <w:r>
        <w:rPr>
          <w:rFonts w:ascii="Arial" w:hAnsi="Arial" w:cs="Arial"/>
          <w:sz w:val="20"/>
          <w:szCs w:val="20"/>
        </w:rPr>
        <w:t xml:space="preserve"> настоящего документа, задолженности по оплате электрической энергии по договору, введение ограничения режима потребления в отношении такого гражданина осуществляется в соответствии с </w:t>
      </w:r>
      <w:hyperlink w:anchor="Par3675" w:history="1">
        <w:r>
          <w:rPr>
            <w:rFonts w:ascii="Arial" w:hAnsi="Arial" w:cs="Arial"/>
            <w:color w:val="0000FF"/>
            <w:sz w:val="20"/>
            <w:szCs w:val="20"/>
          </w:rPr>
          <w:t>Правилами</w:t>
        </w:r>
      </w:hyperlink>
      <w:r>
        <w:rPr>
          <w:rFonts w:ascii="Arial" w:hAnsi="Arial" w:cs="Arial"/>
          <w:sz w:val="20"/>
          <w:szCs w:val="20"/>
        </w:rPr>
        <w:t xml:space="preserve"> полного и (или) частичного ограничения режима потребления электрической энергии.</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bookmarkStart w:id="80" w:name="Par667"/>
      <w:bookmarkEnd w:id="80"/>
      <w:r>
        <w:rPr>
          <w:rFonts w:ascii="Arial" w:eastAsiaTheme="minorHAnsi" w:hAnsi="Arial" w:cs="Arial"/>
          <w:color w:val="auto"/>
          <w:sz w:val="20"/>
          <w:szCs w:val="20"/>
        </w:rPr>
        <w:t>IV. Порядок осуществления расчетов</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за электрическую энергию (мощность), в том числе</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при продаже по нерегулируемым ценам</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78. Расчеты за электрическую энергию (мощность) по договору энергоснабжения (купли-продажи (поставки) электрической энергии (мощности)) осуществляются с учетом того, что:</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стоимость электрической энергии (мощности) по договору энергоснабжения включает стоимость объема покупки электрической энергии (мощности), стоимость услуг по передаче электрической энергии, сбытовую надбавку, а также стоимость иных услуг, оказание которых является неотъемлемой частью процесса поставки электрической энергии потребителям;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стоимость электрической энергии (мощности) по договору купли-продажи (поставки) электрической энергии (мощности) включает стоимость объема покупки электрической энергии (мощности), сбытовую надбавку, стоимость иных услуг, оказание которых является неотъемлемой частью процесса поставки электрической энергии потребителям, и не включает стоимость услуг по передаче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стоимости электрической энергии (мощности), поставляемой гарантирующим поставщиком (энергосбытовой, энергоснабжающей организацией) по договору энергоснабжения (купли-продажи (поставки) электрической энергии (мощности)) потребителям (покупателям), учитывается оплата расходов гарантирующего поставщика (энергосбытовой, энергоснабжающей организации) по оплате услуг по оперативно-диспетчерскому управлению в электроэнергетике, оказываемых такому гарантирующему поставщику (энергосбытовой, энергоснабжающей организации) в случае его соответствия критериям отнесения к кругу лиц, подлежащих обязательному обслуживанию субъектом оперативно-диспетчерского управления в электроэнергетике. Оплата услуг по оперативно-диспетчерскому управлению в электроэнергетике, оказываемых потребителям (покупателям), отвечающим критериям, определенным </w:t>
      </w:r>
      <w:hyperlink r:id="rId339" w:history="1">
        <w:r>
          <w:rPr>
            <w:rFonts w:ascii="Arial" w:hAnsi="Arial" w:cs="Arial"/>
            <w:color w:val="0000FF"/>
            <w:sz w:val="20"/>
            <w:szCs w:val="20"/>
          </w:rPr>
          <w:t>Правилами</w:t>
        </w:r>
      </w:hyperlink>
      <w:r>
        <w:rPr>
          <w:rFonts w:ascii="Arial" w:hAnsi="Arial" w:cs="Arial"/>
          <w:sz w:val="20"/>
          <w:szCs w:val="20"/>
        </w:rPr>
        <w:t xml:space="preserve"> отнесения субъектов электроэнергетики и потребителей электрической энергии к кругу лиц, подлежащих обязательному обслуживанию при оказании услуг по оперативно-диспетчерскому управлению в электроэнергетике, утвержденными постановлением Правительства Российской Федерации от 14 февраля 2009 г. N 114, осуществляется этими потребителями (покупателями) в соответствии с условиями договора, заключенного ими с указанным субъектом оперативно-диспетчерского управления в электроэнергетике.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81" w:name="Par675"/>
      <w:bookmarkEnd w:id="81"/>
      <w:r>
        <w:rPr>
          <w:rFonts w:ascii="Arial" w:hAnsi="Arial" w:cs="Arial"/>
          <w:sz w:val="20"/>
          <w:szCs w:val="20"/>
        </w:rPr>
        <w:t xml:space="preserve">78(1).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на основе использования возобновляемых источников энергии или торфа, равна произведению суммарных за расчетный период объемов продажи электрической энергии (мощности), определенных в соответствии с </w:t>
      </w:r>
      <w:hyperlink w:anchor="Par626" w:history="1">
        <w:r>
          <w:rPr>
            <w:rFonts w:ascii="Arial" w:hAnsi="Arial" w:cs="Arial"/>
            <w:color w:val="0000FF"/>
            <w:sz w:val="20"/>
            <w:szCs w:val="20"/>
          </w:rPr>
          <w:t>пунктом 65(2)</w:t>
        </w:r>
      </w:hyperlink>
      <w:r>
        <w:rPr>
          <w:rFonts w:ascii="Arial" w:hAnsi="Arial" w:cs="Arial"/>
          <w:sz w:val="20"/>
          <w:szCs w:val="20"/>
        </w:rPr>
        <w:t xml:space="preserve"> настоящего документа, и цены (тарифа)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устанавливаемой в соответствии с </w:t>
      </w:r>
      <w:hyperlink r:id="rId340" w:history="1">
        <w:r>
          <w:rPr>
            <w:rFonts w:ascii="Arial" w:hAnsi="Arial" w:cs="Arial"/>
            <w:color w:val="0000FF"/>
            <w:sz w:val="20"/>
            <w:szCs w:val="20"/>
          </w:rPr>
          <w:t>Основами ценообразования</w:t>
        </w:r>
      </w:hyperlink>
      <w:r>
        <w:rPr>
          <w:rFonts w:ascii="Arial" w:hAnsi="Arial" w:cs="Arial"/>
          <w:sz w:val="20"/>
          <w:szCs w:val="20"/>
        </w:rPr>
        <w:t xml:space="preserve"> в области регулируемых цен (тарифов) в электроэнергетике, утвержденными постановлением Правительства Российской Федерации от 29 декабря 2011 г. N 1178 "О ценообразовании в </w:t>
      </w:r>
      <w:r>
        <w:rPr>
          <w:rFonts w:ascii="Arial" w:hAnsi="Arial" w:cs="Arial"/>
          <w:sz w:val="20"/>
          <w:szCs w:val="20"/>
        </w:rPr>
        <w:lastRenderedPageBreak/>
        <w:t>области регулируемых цен (тарифов) в электроэнергетике" (далее - Основы ценообразования в области регулируемых цен (тарифов) в электроэнергетике).</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78(1) введен </w:t>
      </w:r>
      <w:hyperlink r:id="rId341"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23.01.2015 N 47; в ред. </w:t>
      </w:r>
      <w:hyperlink r:id="rId342"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28.10.2017 N 1311)</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79. Расчетным периодом для осуществления расчетов потребителей (покупателей) с гарантирующими поставщиками является 1 месяц.</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80. Гарантирующий поставщик (энергосбытовая, энергоснабжающая организация) в отношении потребителей, максимальная мощность энергопринимающих устройств которых в границах балансовой принадлежности составляет не менее 670 кВт, заключивших договор энергоснабжения с этим гарантирующим поставщиком (энергосбытовой, энергоснабжающей организацией), начиная с 1 июля 2012 г. рассчитывает и в информационных целях указывает в счетах для оплаты электрической энергии (мощности) отдельной строкой величину резервируемой максимальной мощности, определяемую в соответствии с </w:t>
      </w:r>
      <w:hyperlink r:id="rId343" w:history="1">
        <w:r>
          <w:rPr>
            <w:rFonts w:ascii="Arial" w:hAnsi="Arial" w:cs="Arial"/>
            <w:color w:val="0000FF"/>
            <w:sz w:val="20"/>
            <w:szCs w:val="20"/>
          </w:rPr>
          <w:t>Правилами</w:t>
        </w:r>
      </w:hyperlink>
      <w:r>
        <w:rPr>
          <w:rFonts w:ascii="Arial" w:hAnsi="Arial" w:cs="Arial"/>
          <w:sz w:val="20"/>
          <w:szCs w:val="20"/>
        </w:rPr>
        <w:t xml:space="preserve"> недискриминационного доступа к услугам по передаче электрической энергии и оказания этих услуг.</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82" w:name="Par679"/>
      <w:bookmarkEnd w:id="82"/>
      <w:r>
        <w:rPr>
          <w:rFonts w:ascii="Arial" w:hAnsi="Arial" w:cs="Arial"/>
          <w:sz w:val="20"/>
          <w:szCs w:val="20"/>
        </w:rPr>
        <w:t>81. Граждане, приобретающие электрическую энергию у гарантирующего поставщика, обязаны вносить в его адрес оплату стоимости потребленной за расчетный период электрической энергии (мощности) не позднее 10-го числа месяца, следующего за расчетным периодом.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Исполнители коммунальной услуги обязаны вносить в адрес гарантирующего поставщика оплату стоимости поставленной за расчетный период электрической энергии (мощности) до 15-го числа месяца, следующего за расчетным периодом, если соглашением с гарантирующим поставщиком не предусмотрен более поздний срок оплаты.</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Покупатели, приобретающие электрическую энергию для ее поставки населению, обязаны оплачивать стоимость электрической энергии (мощности) в объеме потребления населения за расчетный период до 15-го числа месяца, следующего за расчетным периодом.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83" w:name="Par682"/>
      <w:bookmarkEnd w:id="83"/>
      <w:r>
        <w:rPr>
          <w:rFonts w:ascii="Arial" w:hAnsi="Arial" w:cs="Arial"/>
          <w:sz w:val="20"/>
          <w:szCs w:val="20"/>
        </w:rPr>
        <w:t xml:space="preserve">82. Если иное не установлено </w:t>
      </w:r>
      <w:hyperlink w:anchor="Par679" w:history="1">
        <w:r>
          <w:rPr>
            <w:rFonts w:ascii="Arial" w:hAnsi="Arial" w:cs="Arial"/>
            <w:color w:val="0000FF"/>
            <w:sz w:val="20"/>
            <w:szCs w:val="20"/>
          </w:rPr>
          <w:t>пунктом 81</w:t>
        </w:r>
      </w:hyperlink>
      <w:r>
        <w:rPr>
          <w:rFonts w:ascii="Arial" w:hAnsi="Arial" w:cs="Arial"/>
          <w:sz w:val="20"/>
          <w:szCs w:val="20"/>
        </w:rPr>
        <w:t xml:space="preserve"> настоящего документа, потребители (покупатели), приобретающие электрическую энергию у гарантирующего поставщика, оплачивают электрическую энергию (мощность) гарантирующему поставщику в следующем порядке, кроме случаев, когда более поздние сроки установлены соглашением с гарантирующим поставщиком: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30 процентов стоимости электрической энергии (мощности) в подлежащем оплате объеме покупки в месяце, за который осуществляется оплата, вносится до 10-го числа этого месяца;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40 процентов стоимости электрической энергии (мощности) в подлежащем оплате объеме покупки в месяце, за который осуществляется оплата, вносится до 25-го числа этого месяца;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стоимость объема покупки электрической энергии (мощности) в месяце, за который осуществляется оплата, за вычетом средств, внесенных потребителем (покупателем) в качестве оплаты электрической энергии (мощности) в течение этого месяца, оплачивается до 18-го числа месяца, следующего за месяцем, за который осуществляется оплата. В случае если размер предварительной оплаты превысит стоимость объема покупки электрической энергии (мощности) в месяце, за который осуществляется оплата, излишне уплаченная сумма засчитывается в счет платежа за месяц, следующий за месяцем, в котором была осуществлена такая оплата.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если договор энергоснабжения (купли-продажи (поставки) электрической энергии (мощности)) заключается гарантирующим поставщиком с энергосбытовой (энергоснабжающей) организацией, в нем предусматривается условие о предварительной оплате 50 процентов стоимости электрической энергии (мощности) в подлежащем оплате объеме покупки в месяце, за который осуществляется оплата, до 1-го числа этого месяца, если иное не установлено договором энергоснабжения (договором купли-продажи (поставки)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Соглашением между гарантирующим поставщиком и приобретающей у него электрическую энергию энергосбытовой (энергоснабжающей) организацией указанное условие может быть заменено полностью или частично условием о предоставлении гарантирующему поставщику обеспечения исполнения обязательств по оплате по договору.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83. Для определения размера платежей, которые должны быть произведены гарантирующему поставщику потребителем (покупателем) в течение месяца, в котором осуществляется потребление электрической энергии (мощности), стоимость электрической энергии (мощности) в подлежащем оплате объеме покупки определяется: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на территориях субъектов Российской Федерации, объединенных в ценовые зоны оптового рынка, - исходя из нерегулируемых цен на электрическую энергию (мощность) за предшествующий расчетный период для соответствующей ценовой категории с учетом дифференциации нерегулируемых цен;</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на территориях субъектов Российской Федерации, объединенных в неценовые зоны оптового рынка, - исходя из регулируемых цен на электрическую энергию (мощность) за предшествующий расчетный период для соответствующей ценовой категории с учетом дифференциации регулируемых цен;</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344"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17.05.2016 N 433)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исходя из регулируемых цен (тарифов) на электрическую энергию (мощность), установленных органом исполнительной власти субъекта Российской Федерации в области государственного регулирования тарифов для категорий потребителей, по которым осуществляется дифференциация тарифов.</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345"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17.05.2016 N 433)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выставления счета для оплаты электрической энергии (мощности) до определения цены на электрическую энергию (мощность) за предшествующий расчетный период для определения размера платежей на территориях субъектов Российской Федерации, объединенных в ценовые и неценовые зоны оптового рынка, используется цена на электрическую энергию (мощность) за последний расчетный период, в отношении которого она определена и официально опубликована для соответствующей ценовой категории, при этом указанная цена должна быть проиндексирована в соответствии с изменением тарифа на услуги по передаче электрической энергии, если такое изменение имело место.</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346"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17.05.2016 N 433)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Подлежащий оплате объем покупки электрической энергии (мощности) для применения </w:t>
      </w:r>
      <w:hyperlink w:anchor="Par682" w:history="1">
        <w:r>
          <w:rPr>
            <w:rFonts w:ascii="Arial" w:hAnsi="Arial" w:cs="Arial"/>
            <w:color w:val="0000FF"/>
            <w:sz w:val="20"/>
            <w:szCs w:val="20"/>
          </w:rPr>
          <w:t>пункта 82</w:t>
        </w:r>
      </w:hyperlink>
      <w:r>
        <w:rPr>
          <w:rFonts w:ascii="Arial" w:hAnsi="Arial" w:cs="Arial"/>
          <w:sz w:val="20"/>
          <w:szCs w:val="20"/>
        </w:rPr>
        <w:t xml:space="preserve"> настоящего документа принимается равным определяемому в соответствии с </w:t>
      </w:r>
      <w:hyperlink w:anchor="Par1220" w:history="1">
        <w:r>
          <w:rPr>
            <w:rFonts w:ascii="Arial" w:hAnsi="Arial" w:cs="Arial"/>
            <w:color w:val="0000FF"/>
            <w:sz w:val="20"/>
            <w:szCs w:val="20"/>
          </w:rPr>
          <w:t>разделом X</w:t>
        </w:r>
      </w:hyperlink>
      <w:r>
        <w:rPr>
          <w:rFonts w:ascii="Arial" w:hAnsi="Arial" w:cs="Arial"/>
          <w:sz w:val="20"/>
          <w:szCs w:val="20"/>
        </w:rPr>
        <w:t xml:space="preserve"> настоящего документа объему потребления электрической энергии (мощности) за предшествующий расчетный период. В случае отсутствия указанных данных подлежащий оплате объем покупки электрической энергии (мощности) рассчитывается исходя из отношения максимальной мощности энергопринимающих устройств потребителя, определяемой в соответствии с </w:t>
      </w:r>
      <w:hyperlink r:id="rId347" w:history="1">
        <w:r>
          <w:rPr>
            <w:rFonts w:ascii="Arial" w:hAnsi="Arial" w:cs="Arial"/>
            <w:color w:val="0000FF"/>
            <w:sz w:val="20"/>
            <w:szCs w:val="20"/>
          </w:rPr>
          <w:t>Правилами</w:t>
        </w:r>
      </w:hyperlink>
      <w:r>
        <w:rPr>
          <w:rFonts w:ascii="Arial" w:hAnsi="Arial" w:cs="Arial"/>
          <w:sz w:val="20"/>
          <w:szCs w:val="20"/>
        </w:rPr>
        <w:t xml:space="preserve"> недискриминационного доступа к услугам по передаче электрической энергии и оказания этих услуг (далее - максимальная мощность), и коэффициента оплаты мощности, равного 0,002824.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84" w:name="Par697"/>
      <w:bookmarkEnd w:id="84"/>
      <w:r>
        <w:rPr>
          <w:rFonts w:ascii="Arial" w:hAnsi="Arial" w:cs="Arial"/>
          <w:sz w:val="20"/>
          <w:szCs w:val="20"/>
        </w:rPr>
        <w:t xml:space="preserve">84. Стоимость электрической энергии (мощности) в объеме выявленного бездоговорного потребления электрической энергии (далее - стоимость объема бездоговорного потребления) рассчитывается сетевой организацией, к сетям которой присоединены энергопринимающие устройства лица, осуществлявшего бездоговорное потребление электрической энергии, и взыскивается такой сетевой организацией с указанного лица на основании акта о неучтенном потреблении электрической энергии, составленного в соответствии с </w:t>
      </w:r>
      <w:hyperlink w:anchor="Par1220" w:history="1">
        <w:r>
          <w:rPr>
            <w:rFonts w:ascii="Arial" w:hAnsi="Arial" w:cs="Arial"/>
            <w:color w:val="0000FF"/>
            <w:sz w:val="20"/>
            <w:szCs w:val="20"/>
          </w:rPr>
          <w:t>разделом X</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Стоимость объема бездоговорного потребления за весь период его осуществления рассчитывается исходя из цены, по которой указанная сетевая организация приобретает электрическую энергию (мощность) в целях компенсации потерь в объеме, не превышающем объема потерь, учтенного в сводном прогнозном балансе, в тот же расчетный период, в котором составлен акт о неучтенном потреблении электрической энергии, и тарифа на услуги по передаче электрической энергии на соответствующем уровне напряжения.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348"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07.07.2017 N 810)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Абзацы третий - пятнадцатый утратили силу. - </w:t>
      </w:r>
      <w:hyperlink r:id="rId349" w:history="1">
        <w:r>
          <w:rPr>
            <w:rFonts w:ascii="Arial" w:hAnsi="Arial" w:cs="Arial"/>
            <w:color w:val="0000FF"/>
            <w:sz w:val="20"/>
            <w:szCs w:val="20"/>
          </w:rPr>
          <w:t>Постановление</w:t>
        </w:r>
      </w:hyperlink>
      <w:r>
        <w:rPr>
          <w:rFonts w:ascii="Arial" w:hAnsi="Arial" w:cs="Arial"/>
          <w:sz w:val="20"/>
          <w:szCs w:val="20"/>
        </w:rPr>
        <w:t xml:space="preserve"> Правительства РФ от 07.07.2017 N 810.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Стоимость электрической энергии (мощности) в объеме выявленного безучетного потребления электрической энергии (далее - стоимость объема безучетного потребления) рассчитывается и взыскивается гарантирующим поставщиком (энергосбытовой, энергоснабжающей организацией) с потребителя по договору энергоснабжения (купли-продажи (поставки) электрической энергии (мощности)) </w:t>
      </w:r>
      <w:r>
        <w:rPr>
          <w:rFonts w:ascii="Arial" w:hAnsi="Arial" w:cs="Arial"/>
          <w:sz w:val="20"/>
          <w:szCs w:val="20"/>
        </w:rPr>
        <w:lastRenderedPageBreak/>
        <w:t xml:space="preserve">на основании акта о неучтенном потреблении электрической энергии, составленного в соответствии с </w:t>
      </w:r>
      <w:hyperlink w:anchor="Par1220" w:history="1">
        <w:r>
          <w:rPr>
            <w:rFonts w:ascii="Arial" w:hAnsi="Arial" w:cs="Arial"/>
            <w:color w:val="0000FF"/>
            <w:sz w:val="20"/>
            <w:szCs w:val="20"/>
          </w:rPr>
          <w:t>разделом X</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Стоимость объема безучетного потребления по договору энергоснабжения (купли-продажи (поставки) электрической энергии (мощности)) рассчитывается по ценам на электрическую энергию (мощность), определяемым и применяемым в соответствии с настоящим документом за расчетный период, в котором составлен акт о неучтенном потреблении электрической энергии, а также условиями договора.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Стоимость объема бездоговорного потребления и стоимость объема безучетного потребления в отношении потребления населением и приравненными к нему категориями потребителей определяются исходя из регулируемых цен (тарифов), установленных органом исполнительной власти субъекта Российской Федерации в области государственного регулирования тарифов для населения и приравненных к нему категорий потребителей и применяемых для расчетного периода, в котором составлен акт о неучтенном потреблении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если проект договора, обеспечивающего продажу электрической энергии (мощности) на розничных рынках (дополнительного соглашения к действующему договору, обеспечивающему продажу электрической энергии (мощности) на розничных рынках), считается отозванным по основаниям, предусмотренным абзацем шестым </w:t>
      </w:r>
      <w:hyperlink r:id="rId350" w:history="1">
        <w:r>
          <w:rPr>
            <w:rFonts w:ascii="Arial" w:hAnsi="Arial" w:cs="Arial"/>
            <w:color w:val="0000FF"/>
            <w:sz w:val="20"/>
            <w:szCs w:val="20"/>
          </w:rPr>
          <w:t>пункта 19(1)</w:t>
        </w:r>
      </w:hyperlink>
      <w:r>
        <w:rPr>
          <w:rFonts w:ascii="Arial" w:hAnsi="Arial" w:cs="Arial"/>
          <w:sz w:val="20"/>
          <w:szCs w:val="20"/>
        </w:rP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стоимость объема бездоговорного потребления за весь период его осуществления рассчитывается исходя из увеличенной в 2 раза цены, по которой указанная сетевая организация приобретает электрическую энергию (мощность) в целях компенсации потерь в объеме, не превышающем объема потерь, учтенного в сводном прогнозном балансе, в тот же расчетный период, в котором составлен акт о неучтенном потреблении электрической энергии, и тарифа на услуги по передаче электрической энергии на соответствующем уровне напряжения.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351"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01.04.2020 N 403)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85" w:name="Par706"/>
      <w:bookmarkEnd w:id="85"/>
      <w:r>
        <w:rPr>
          <w:rFonts w:ascii="Arial" w:hAnsi="Arial" w:cs="Arial"/>
          <w:sz w:val="20"/>
          <w:szCs w:val="20"/>
        </w:rPr>
        <w:t>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течение 5 рабочих дней со дня получения указанного уведомления обязан направить потребителю (покупателю). Указанный счет включает в себя: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86" w:name="Par707"/>
      <w:bookmarkEnd w:id="86"/>
      <w:r>
        <w:rPr>
          <w:rFonts w:ascii="Arial" w:hAnsi="Arial" w:cs="Arial"/>
          <w:sz w:val="20"/>
          <w:szCs w:val="20"/>
        </w:rPr>
        <w:t>сумму задолженности потребителя (покупателя) по договору, о расторжении или изменении которого указано в уведомлении потребителя (покупателя), на дату получения уведомления (при ее наличии);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87" w:name="Par708"/>
      <w:bookmarkEnd w:id="87"/>
      <w:r>
        <w:rPr>
          <w:rFonts w:ascii="Arial" w:hAnsi="Arial" w:cs="Arial"/>
          <w:sz w:val="20"/>
          <w:szCs w:val="20"/>
        </w:rPr>
        <w:t xml:space="preserve">стоимость электрической энергии (мощности), рассчитанную исходя из объема, который прогнозируется к потреблению по договору до заявляемой потребителем (покупателем) в уведомлении даты его расторжения или изменения, и нерегулируемой цены на электрическую энергию (мощность) за предшествующий расчетный период (для территорий субъектов Российской Федерации, не объединенных в ценовые зоны оптового рынка, - исходя из утвержденных регулируемых тарифов на электрическую энергию (мощность)). Используемый при расчете стоимости электрической энергии (мощности) объем в случае расторжения договора определяется исходя из среднесуточного объема потребления электрической энергии (мощности) за предыдущий расчетный период, а в случае изменения договора - исходя из объемов, на которые будет уменьшена покупка электрической энергии (мощности) у гарантирующего поставщика, указанных в представленной потребителем (покупателем) гарантирующему поставщику в соответствии с </w:t>
      </w:r>
      <w:hyperlink w:anchor="Par511" w:history="1">
        <w:r>
          <w:rPr>
            <w:rFonts w:ascii="Arial" w:hAnsi="Arial" w:cs="Arial"/>
            <w:color w:val="0000FF"/>
            <w:sz w:val="20"/>
            <w:szCs w:val="20"/>
          </w:rPr>
          <w:t>пунктом 50</w:t>
        </w:r>
      </w:hyperlink>
      <w:r>
        <w:rPr>
          <w:rFonts w:ascii="Arial" w:hAnsi="Arial" w:cs="Arial"/>
          <w:sz w:val="20"/>
          <w:szCs w:val="20"/>
        </w:rPr>
        <w:t xml:space="preserve"> настоящего документа выписке из договора, обеспечивающего продажу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абзацы четвертый - седьмой утратили силу. - </w:t>
      </w:r>
      <w:hyperlink r:id="rId352" w:history="1">
        <w:r>
          <w:rPr>
            <w:rFonts w:ascii="Arial" w:hAnsi="Arial" w:cs="Arial"/>
            <w:color w:val="0000FF"/>
            <w:sz w:val="20"/>
            <w:szCs w:val="20"/>
          </w:rPr>
          <w:t>Постановление</w:t>
        </w:r>
      </w:hyperlink>
      <w:r>
        <w:rPr>
          <w:rFonts w:ascii="Arial" w:hAnsi="Arial" w:cs="Arial"/>
          <w:sz w:val="20"/>
          <w:szCs w:val="20"/>
        </w:rPr>
        <w:t xml:space="preserve"> Правительства РФ от 21.07.2017 N 863.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получении энергосбытовой (энергоснабжающей) организацией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(далее - уведомление о расторжении договора), эта организация в течение 5 рабочих дней со дня получения такого уведомления, если меньший срок не установлен соглашением сторон, обязана передать потребителю (покупателю) счет, включающий в себя положения, предусмотренные </w:t>
      </w:r>
      <w:hyperlink w:anchor="Par707" w:history="1">
        <w:r>
          <w:rPr>
            <w:rFonts w:ascii="Arial" w:hAnsi="Arial" w:cs="Arial"/>
            <w:color w:val="0000FF"/>
            <w:sz w:val="20"/>
            <w:szCs w:val="20"/>
          </w:rPr>
          <w:t>абзацами вторым</w:t>
        </w:r>
      </w:hyperlink>
      <w:r>
        <w:rPr>
          <w:rFonts w:ascii="Arial" w:hAnsi="Arial" w:cs="Arial"/>
          <w:sz w:val="20"/>
          <w:szCs w:val="20"/>
        </w:rPr>
        <w:t xml:space="preserve"> и </w:t>
      </w:r>
      <w:hyperlink w:anchor="Par708" w:history="1">
        <w:r>
          <w:rPr>
            <w:rFonts w:ascii="Arial" w:hAnsi="Arial" w:cs="Arial"/>
            <w:color w:val="0000FF"/>
            <w:sz w:val="20"/>
            <w:szCs w:val="20"/>
          </w:rPr>
          <w:t>третьим</w:t>
        </w:r>
      </w:hyperlink>
      <w:r>
        <w:rPr>
          <w:rFonts w:ascii="Arial" w:hAnsi="Arial" w:cs="Arial"/>
          <w:sz w:val="20"/>
          <w:szCs w:val="20"/>
        </w:rPr>
        <w:t xml:space="preserve"> настоящего пункта.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Выставленный гарантирующим поставщиком (энергосбытовой, энергоснабжающей организацией) в соответствии с настоящим пунктом счет должен быть оплачен потребителем (покупателем) не позднее чем за 10 рабочих дней до заявленной им даты расторжения или изменения договора.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наличии сумм, излишне внесенных потребителем (покупателем) в счет оплаты электрической энергии (мощности), гарантирующий поставщик (энергосбытовая, энергоснабжающая организация) направляет потребителю (покупателю) соответствующее извещение в течение 5 рабочих дней со дня получения уведомления о расторжении или изменении договора от потребителя (покупателя).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Для осуществления окончательных расчетов за электрическую энергию (мощность) лицо, уполномоченное в соответствии с </w:t>
      </w:r>
      <w:hyperlink w:anchor="Par1220" w:history="1">
        <w:r>
          <w:rPr>
            <w:rFonts w:ascii="Arial" w:hAnsi="Arial" w:cs="Arial"/>
            <w:color w:val="0000FF"/>
            <w:sz w:val="20"/>
            <w:szCs w:val="20"/>
          </w:rPr>
          <w:t>разделом X</w:t>
        </w:r>
      </w:hyperlink>
      <w:r>
        <w:rPr>
          <w:rFonts w:ascii="Arial" w:hAnsi="Arial" w:cs="Arial"/>
          <w:sz w:val="20"/>
          <w:szCs w:val="20"/>
        </w:rPr>
        <w:t xml:space="preserve"> настоящего документа на совершение указанных действий, обязано обеспечить предоставление гарантирующему поставщику (энергосбытовой, энергоснабжающей организации) показания приборов учета, используемых для расчетов по договору, на дату расторжения или изменения договора.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353"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18.04.2020 N 554)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Окончательные расчеты за электрическую энергию (мощность) должны быть произведены сторонами договора в сроки, предусмотренные настоящим документом, после определения за соответствующий расчетный период в соответствии с настоящим документом предельных уровней нерегулируемых цен для потребителей (покупателей) розничных рынков, функционирующих на территориях ценовых зон, и регулируемых цен, рассчитанных в соответствии с </w:t>
      </w:r>
      <w:hyperlink w:anchor="Par2057" w:history="1">
        <w:r>
          <w:rPr>
            <w:rFonts w:ascii="Arial" w:hAnsi="Arial" w:cs="Arial"/>
            <w:color w:val="0000FF"/>
            <w:sz w:val="20"/>
            <w:szCs w:val="20"/>
          </w:rPr>
          <w:t>разделом XII</w:t>
        </w:r>
      </w:hyperlink>
      <w:r>
        <w:rPr>
          <w:rFonts w:ascii="Arial" w:hAnsi="Arial" w:cs="Arial"/>
          <w:sz w:val="20"/>
          <w:szCs w:val="20"/>
        </w:rPr>
        <w:t xml:space="preserve"> настоящего документа в отношении потребителей (покупателей) на розничных рынках, функционирующих на территориях, объединенных в неценовые зоны оптового рынка, и определенных в соответствии с </w:t>
      </w:r>
      <w:hyperlink r:id="rId354" w:history="1">
        <w:r>
          <w:rPr>
            <w:rFonts w:ascii="Arial" w:hAnsi="Arial" w:cs="Arial"/>
            <w:color w:val="0000FF"/>
            <w:sz w:val="20"/>
            <w:szCs w:val="20"/>
          </w:rPr>
          <w:t>Основами ценообразования</w:t>
        </w:r>
      </w:hyperlink>
      <w:r>
        <w:rPr>
          <w:rFonts w:ascii="Arial" w:hAnsi="Arial" w:cs="Arial"/>
          <w:sz w:val="20"/>
          <w:szCs w:val="20"/>
        </w:rPr>
        <w:t xml:space="preserve"> в области регулируемых цен (тарифов) в электроэнергетике регулируемых цен на электрическую энергию (мощность), поставляемую на розничных рынках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355"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17.05.2016 N 433)</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V. Порядок определения и применения гарантирующими</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поставщиками предельных уровней нерегулируемых цен</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на электрическую энергию (мощность) и структура</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нерегулируемых цен на электрическую</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энергию (мощность)</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bookmarkStart w:id="88" w:name="Par724"/>
      <w:bookmarkEnd w:id="88"/>
      <w:r>
        <w:rPr>
          <w:rFonts w:ascii="Arial" w:hAnsi="Arial" w:cs="Arial"/>
          <w:sz w:val="20"/>
          <w:szCs w:val="20"/>
        </w:rPr>
        <w:t>86. Предельные уровни нерегулируемых цен на электрическую энергию (мощность) (далее - предельные уровни нерегулируемых цен) за соответствующий расчетный период рассчитываются гарантирующим поставщиком по следующим ценовым категориям: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первая ценовая категория - для объемов покупки электрической энергии (мощности), учет которых осуществляется в целом за расчетный период;</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вторая ценовая категория - для объемов покупки электрической энергии (мощности), учет которых осуществляется по зонам суток расчетного периода;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третья ценовая категория - для объемов покупки электрической энергии (мощности),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четвертая ценовая категория - для объемов покупки электрической энергии (мощности),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шестая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Предельные уровни нерегулируемых цен дифференцируются по уровням напряжения в соответствии с дифференциацией применяемых при определении предельных уровней тарифов (ставок тарифов) на услуги по передаче электрической энергии, а также предельные уровни нерегулируемых цен дифференцируются по группам (подгруппам) потребителей. Дифференциация предельных уровней нерегулируемых цен на электрическую энергию (мощность) по высокому первому напряжению (ВН1) применяется только в отношении четвертой и шестой ценовых категорий.</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356"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21.07.2017 N 863)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если потребитель (покупатель) не уведомил гарантирующего поставщика о согласованной с сетевой организацией в соответствии с </w:t>
      </w:r>
      <w:hyperlink r:id="rId357" w:history="1">
        <w:r>
          <w:rPr>
            <w:rFonts w:ascii="Arial" w:hAnsi="Arial" w:cs="Arial"/>
            <w:color w:val="0000FF"/>
            <w:sz w:val="20"/>
            <w:szCs w:val="20"/>
          </w:rPr>
          <w:t>Правилами</w:t>
        </w:r>
      </w:hyperlink>
      <w:r>
        <w:rPr>
          <w:rFonts w:ascii="Arial" w:hAnsi="Arial" w:cs="Arial"/>
          <w:sz w:val="20"/>
          <w:szCs w:val="20"/>
        </w:rPr>
        <w:t xml:space="preserve"> недискриминационного доступа к услугам по передаче электрической энергии и оказания этих услуг величине максимальной мощности энергопринимающих устройств потребителя в точках поставки, в отношении которых заключен соответствующий договор энергоснабжения (купли-продажи (поставки) электрической энергии (мощности)), при применении предельных уровней нерегулируемых цен отнесение данного потребителя (покупателя) к подгруппам группы "прочие потребители" осуществляется в соответствии с величиной мощности, оплачиваемой потребителем (покупателем) на розничном рынке (для потребителя (покупателя), осуществляющего расчеты по первой ценовой категории, - в соответствии с величиной мощности, равной произведению объема потребления электрической энергии, определенного в порядке, предусмотренном настоящим документом, для соответствующего потребителя и коэффициента оплаты мощности потребителями (покупателями), осуществляющими расчеты по первой ценовой категории; для потребителя (покупателя), осуществляющего расчеты по второй ценовой категории, - в соответствии с величиной мощности, равной сумме по всем зонам суток расчетного периода произведений объемов потребления электрической энергии для соответствующей зоны суток потребителем и коэффициента оплаты мощности для соответствующей зоны суток, определяемого коммерческим оператором оптового рынка в соответствии с настоящим документом).</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358"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30.12.2012 N 1482)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87. Гарантирующие поставщики рассчитывают значения предельных уровней нерегулируемых цен с учетом особенностей, предусмотренных </w:t>
      </w:r>
      <w:hyperlink w:anchor="Par864" w:history="1">
        <w:r>
          <w:rPr>
            <w:rFonts w:ascii="Arial" w:hAnsi="Arial" w:cs="Arial"/>
            <w:color w:val="0000FF"/>
            <w:sz w:val="20"/>
            <w:szCs w:val="20"/>
          </w:rPr>
          <w:t>пунктом 96</w:t>
        </w:r>
      </w:hyperlink>
      <w:r>
        <w:rPr>
          <w:rFonts w:ascii="Arial" w:hAnsi="Arial" w:cs="Arial"/>
          <w:sz w:val="20"/>
          <w:szCs w:val="20"/>
        </w:rPr>
        <w:t xml:space="preserve"> настоящего документа, по формулам расчета предельных уровней нерегулируемых цен на электрическую энергию (мощность) и их составляющих согласно </w:t>
      </w:r>
      <w:hyperlink r:id="rId359" w:history="1">
        <w:r>
          <w:rPr>
            <w:rFonts w:ascii="Arial" w:hAnsi="Arial" w:cs="Arial"/>
            <w:color w:val="0000FF"/>
            <w:sz w:val="20"/>
            <w:szCs w:val="20"/>
          </w:rPr>
          <w:t>Правилам</w:t>
        </w:r>
      </w:hyperlink>
      <w:r>
        <w:rPr>
          <w:rFonts w:ascii="Arial" w:hAnsi="Arial" w:cs="Arial"/>
          <w:sz w:val="20"/>
          <w:szCs w:val="20"/>
        </w:rPr>
        <w:t xml:space="preserve"> определения и применения гарантирующими поставщиками нерегулируемых цен на электрическую энергию (мощность), утвержденным постановлением Правительства Российской Федерации от 29 декабря 2011 г. N 1179.</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89" w:name="Par736"/>
      <w:bookmarkEnd w:id="89"/>
      <w:r>
        <w:rPr>
          <w:rFonts w:ascii="Arial" w:hAnsi="Arial" w:cs="Arial"/>
          <w:sz w:val="20"/>
          <w:szCs w:val="20"/>
        </w:rPr>
        <w:t>88. Предельный уровень нерегулируемых цен для первой ценовой категории гарантирующий поставщик рассчитывает в соответствии со следующей структурой нерегулируемой цены:</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средневзвешенная нерегулируемая цена на электрическую энергию (мощность);</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сбытовая надбавка гарантирующего поставщика;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Par945" w:history="1">
        <w:r>
          <w:rPr>
            <w:rFonts w:ascii="Arial" w:hAnsi="Arial" w:cs="Arial"/>
            <w:color w:val="0000FF"/>
            <w:sz w:val="20"/>
            <w:szCs w:val="20"/>
          </w:rPr>
          <w:t>пунктом 101</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Указанные составляющие предельного уровня нерегулируемых цен определяются в рублях за мегаватт-час.</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Предельный уровень нерегулируемых цен для первой ценовой категории определяется в одноставочном выражении как сумма указанных составляющих предельного уровня нерегулируемых цен.</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Средневзвешенная нерегулируемая цена электрической энергии (мощности), используемая для расчета предельного уровня нерегулируемой цены для первой ценовой категории, рассчитывается гарантирующим поставщиком как сумма следующих величин:</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средневзвешенная нерегулируемая цена на электрическую энергию на оптовом рынке, определяемая за соответствующий расчетный период по результатам конкурентных отборов на сутки вперед и для балансирования системы коммерческим оператором для соответствующего гарантирующего поставщика в соответствии с </w:t>
      </w:r>
      <w:hyperlink w:anchor="Par932" w:history="1">
        <w:r>
          <w:rPr>
            <w:rFonts w:ascii="Arial" w:hAnsi="Arial" w:cs="Arial"/>
            <w:color w:val="0000FF"/>
            <w:sz w:val="20"/>
            <w:szCs w:val="20"/>
          </w:rPr>
          <w:t>пунктом 100</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произведение средневзвешенной нерегулируемой цены на мощность на оптовом рынке, определенной коммерческим оператором для соответствующего гарантирующего поставщика в соответствии с </w:t>
      </w:r>
      <w:hyperlink w:anchor="Par932" w:history="1">
        <w:r>
          <w:rPr>
            <w:rFonts w:ascii="Arial" w:hAnsi="Arial" w:cs="Arial"/>
            <w:color w:val="0000FF"/>
            <w:sz w:val="20"/>
            <w:szCs w:val="20"/>
          </w:rPr>
          <w:t>пунктом 100</w:t>
        </w:r>
      </w:hyperlink>
      <w:r>
        <w:rPr>
          <w:rFonts w:ascii="Arial" w:hAnsi="Arial" w:cs="Arial"/>
          <w:sz w:val="20"/>
          <w:szCs w:val="20"/>
        </w:rPr>
        <w:t xml:space="preserve"> настоящего документа, и коэффициента оплаты мощности потребителями (покупателями), осуществляющими расчеты по первой ценовой категории.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Коэффициент оплаты мощности потребителями (покупателями), осуществляющими расчеты по первой ценовой категории, определяется гарантирующим поставщиком как отношение следующих величин:</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положительная разница между суммой объема фактического пикового потребления гарантирующего поставщика за соответствующий расчетный период на оптовом рынке, определенного коммерческим оператором в соответствии с </w:t>
      </w:r>
      <w:hyperlink r:id="rId360" w:history="1">
        <w:r>
          <w:rPr>
            <w:rFonts w:ascii="Arial" w:hAnsi="Arial" w:cs="Arial"/>
            <w:color w:val="0000FF"/>
            <w:sz w:val="20"/>
            <w:szCs w:val="20"/>
          </w:rPr>
          <w:t>Правилами</w:t>
        </w:r>
      </w:hyperlink>
      <w:r>
        <w:rPr>
          <w:rFonts w:ascii="Arial" w:hAnsi="Arial" w:cs="Arial"/>
          <w:sz w:val="20"/>
          <w:szCs w:val="20"/>
        </w:rPr>
        <w:t xml:space="preserve"> оптового рынка, и величины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 для поставки своим потребителям (покупателям), энергопринимающие устройства которых расположены в зоне деятельности гарантирующего поставщика, и суммой величин мощности, оплачиваемой на розничном рынке за соответствующий расчетный период потребителями (покупателями), осуществляющими расчеты по второй - шестой ценовым категориям, и объема потребления мощности населением и приравненными к нему категориями потребителей;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разница между суммой фактического объема потребления электрической энергии гарантирующего поставщика за соответствующий расчетный период, определяемого на оптовом рынке в соответствии с </w:t>
      </w:r>
      <w:hyperlink r:id="rId361" w:history="1">
        <w:r>
          <w:rPr>
            <w:rFonts w:ascii="Arial" w:hAnsi="Arial" w:cs="Arial"/>
            <w:color w:val="0000FF"/>
            <w:sz w:val="20"/>
            <w:szCs w:val="20"/>
          </w:rPr>
          <w:t>Правилами</w:t>
        </w:r>
      </w:hyperlink>
      <w:r>
        <w:rPr>
          <w:rFonts w:ascii="Arial" w:hAnsi="Arial" w:cs="Arial"/>
          <w:sz w:val="20"/>
          <w:szCs w:val="20"/>
        </w:rPr>
        <w:t xml:space="preserve"> оптового рынка, и объема покупки электрической энергии гарантирующим поставщиком у производителей электрической энергии (мощности) на розничных рынках для поставки своим потребителям (покупателям), энергопринимающие устройства которых расположены в зоне деятельности гарантирующего поставщика, и суммой объемов потребления электрической энергии потребителями (покупателями), осуществляющими расчеты по второй - шестой ценовым категориям, населением и приравненными к нему категориями потребителей. В случае если указанная разница не является положительной, коэффициент оплаты мощности потребителями (покупателями), осуществляющими расчеты по первой ценовой категории, принимается равным нулю.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Величина мощности, соответствующая покупке электрической энергии гарантирующим поставщиком у производителей электрической энергии (мощности) на розничных рынках, объекты по производству электрической энергии (мощности) которых оборудованы приборами учета, позволяющими измерять почасовые объемы производства электрической энергии, определяется как среднее арифметическое значение фактических почасовых объемов покупки электрической энергии гарантирующим поставщиком у таких производителей в часы для расчета величины мощности на розничном рынке, указанные в </w:t>
      </w:r>
      <w:hyperlink w:anchor="Par853" w:history="1">
        <w:r>
          <w:rPr>
            <w:rFonts w:ascii="Arial" w:hAnsi="Arial" w:cs="Arial"/>
            <w:color w:val="0000FF"/>
            <w:sz w:val="20"/>
            <w:szCs w:val="20"/>
          </w:rPr>
          <w:t>пункте 95</w:t>
        </w:r>
      </w:hyperlink>
      <w:r>
        <w:rPr>
          <w:rFonts w:ascii="Arial" w:hAnsi="Arial" w:cs="Arial"/>
          <w:sz w:val="20"/>
          <w:szCs w:val="20"/>
        </w:rPr>
        <w:t xml:space="preserve"> настоящего документа, которые публикуются коммерческим оператором оптового рынка в соответствии с </w:t>
      </w:r>
      <w:hyperlink r:id="rId362" w:history="1">
        <w:r>
          <w:rPr>
            <w:rFonts w:ascii="Arial" w:hAnsi="Arial" w:cs="Arial"/>
            <w:color w:val="0000FF"/>
            <w:sz w:val="20"/>
            <w:szCs w:val="20"/>
          </w:rPr>
          <w:t>Правилами</w:t>
        </w:r>
      </w:hyperlink>
      <w:r>
        <w:rPr>
          <w:rFonts w:ascii="Arial" w:hAnsi="Arial" w:cs="Arial"/>
          <w:sz w:val="20"/>
          <w:szCs w:val="20"/>
        </w:rPr>
        <w:t xml:space="preserve"> оптового рынка.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Величина мощности, соответствующая покупке электрической энергии гарантирующим поставщиком у производителей электрической энергии (мощности) на розничных рынках, объекты по производству электрической энергии (мощности) которых не оборудованы приборами учета, позволяющими измерять почасовые объемы производства электрической энергии, определяется расчетным способом в соответствии с </w:t>
      </w:r>
      <w:hyperlink w:anchor="Par1220" w:history="1">
        <w:r>
          <w:rPr>
            <w:rFonts w:ascii="Arial" w:hAnsi="Arial" w:cs="Arial"/>
            <w:color w:val="0000FF"/>
            <w:sz w:val="20"/>
            <w:szCs w:val="20"/>
          </w:rPr>
          <w:t>разделом X</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определении коэффициента оплаты мощности потребителями (покупателями), осуществляющими расчеты по первой ценовой категории, гарантирующий поставщик учитывает объемы электрической энергии (мощности), приобретаемые гарантирующим поставщиком у производителей электрической энергии (мощности) на розничных рынках только в случаях, когда такие производители документально подтвердили, что на них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 При этом с 1 января 2016 г. объемы электрической энергии (мощности), приобретаемые гарантирующим поставщиком у производителей электрической энергии (мощности) на розничных рынках, установленная генерирующая мощность объектов (частей объектов) по производству электрической энергии (мощности) которых равна либо превышает 25 МВт, учитываются гарантирующим поставщиком только при предоставлении такими производителями соответствующего подтверждения о </w:t>
      </w:r>
      <w:r>
        <w:rPr>
          <w:rFonts w:ascii="Arial" w:hAnsi="Arial" w:cs="Arial"/>
          <w:sz w:val="20"/>
          <w:szCs w:val="20"/>
        </w:rPr>
        <w:lastRenderedPageBreak/>
        <w:t>нераспространении на них требования о реализации электрической энергии (мощности) только на оптовом рынке.</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Постановлений Правительства РФ от 27.08.2013 </w:t>
      </w:r>
      <w:hyperlink r:id="rId363" w:history="1">
        <w:r>
          <w:rPr>
            <w:rFonts w:ascii="Arial" w:hAnsi="Arial" w:cs="Arial"/>
            <w:color w:val="0000FF"/>
            <w:sz w:val="20"/>
            <w:szCs w:val="20"/>
          </w:rPr>
          <w:t>N 743</w:t>
        </w:r>
      </w:hyperlink>
      <w:r>
        <w:rPr>
          <w:rFonts w:ascii="Arial" w:hAnsi="Arial" w:cs="Arial"/>
          <w:sz w:val="20"/>
          <w:szCs w:val="20"/>
        </w:rPr>
        <w:t xml:space="preserve">, от 28.02.2015 </w:t>
      </w:r>
      <w:hyperlink r:id="rId364" w:history="1">
        <w:r>
          <w:rPr>
            <w:rFonts w:ascii="Arial" w:hAnsi="Arial" w:cs="Arial"/>
            <w:color w:val="0000FF"/>
            <w:sz w:val="20"/>
            <w:szCs w:val="20"/>
          </w:rPr>
          <w:t>N 183</w:t>
        </w:r>
      </w:hyperlink>
      <w:r>
        <w:rPr>
          <w:rFonts w:ascii="Arial" w:hAnsi="Arial" w:cs="Arial"/>
          <w:sz w:val="20"/>
          <w:szCs w:val="20"/>
        </w:rPr>
        <w:t xml:space="preserve">, от 07.07.2017 </w:t>
      </w:r>
      <w:hyperlink r:id="rId365" w:history="1">
        <w:r>
          <w:rPr>
            <w:rFonts w:ascii="Arial" w:hAnsi="Arial" w:cs="Arial"/>
            <w:color w:val="0000FF"/>
            <w:sz w:val="20"/>
            <w:szCs w:val="20"/>
          </w:rPr>
          <w:t>N 810</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Объем потребления электрической энергии (мощности) населением и приравненными к нему категориями потребителей за соответствующий расчетный период для расчета коэффициента оплаты мощности потребителями (покупателями), осуществляющими расчеты по первой ценовой категории, равен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До 1 января 2013 г. объем потребления мощности населением и приравненными к нему категориями потребителей принимается равным указанному значению, уменьшенному на величину покупки резервной мощности, учтенной в утвержденном на 2012 год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Величина мощности, оплачиваемой на розничном рынке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 гарантирующим поставщиком за соответствующий расчетный период как сумма по всем зонам суток расчетного периода произведений объемов потребления электрической энергии для соответствующей зоны суток потребителями (покупателями), осуществляющими расчеты по второй ценовой категории, и коэффициента оплаты мощности для соответствующей зоны суток, определяемого коммерческим оператором оптового рынка в соответствии с настоящим документом, </w:t>
      </w:r>
      <w:hyperlink r:id="rId366" w:history="1">
        <w:r>
          <w:rPr>
            <w:rFonts w:ascii="Arial" w:hAnsi="Arial" w:cs="Arial"/>
            <w:color w:val="0000FF"/>
            <w:sz w:val="20"/>
            <w:szCs w:val="20"/>
          </w:rPr>
          <w:t>Правилами</w:t>
        </w:r>
      </w:hyperlink>
      <w:r>
        <w:rPr>
          <w:rFonts w:ascii="Arial" w:hAnsi="Arial" w:cs="Arial"/>
          <w:sz w:val="20"/>
          <w:szCs w:val="20"/>
        </w:rPr>
        <w:t xml:space="preserve"> определения и применения гарантирующими поставщиками нерегулируемых цен на электрическую энергию (мощность) и </w:t>
      </w:r>
      <w:hyperlink r:id="rId367" w:history="1">
        <w:r>
          <w:rPr>
            <w:rFonts w:ascii="Arial" w:hAnsi="Arial" w:cs="Arial"/>
            <w:color w:val="0000FF"/>
            <w:sz w:val="20"/>
            <w:szCs w:val="20"/>
          </w:rPr>
          <w:t>Правилами</w:t>
        </w:r>
      </w:hyperlink>
      <w:r>
        <w:rPr>
          <w:rFonts w:ascii="Arial" w:hAnsi="Arial" w:cs="Arial"/>
          <w:sz w:val="20"/>
          <w:szCs w:val="20"/>
        </w:rPr>
        <w:t xml:space="preserve"> оптового рынка.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Величина мощности, оплачиваемой на розничном рынке потребителями (покупателями), осуществляющими расчеты по третьей - шестой ценовым категориям, для расчета коэффициента оплаты мощности потребителями (покупателями), осуществляющими расчеты по первой ценовой категории, рассчитывается гарантирующим поставщиком за соответствующий расчетный период как сумма определяемых в соответствии с </w:t>
      </w:r>
      <w:hyperlink w:anchor="Par853" w:history="1">
        <w:r>
          <w:rPr>
            <w:rFonts w:ascii="Arial" w:hAnsi="Arial" w:cs="Arial"/>
            <w:color w:val="0000FF"/>
            <w:sz w:val="20"/>
            <w:szCs w:val="20"/>
          </w:rPr>
          <w:t>пунктом 95</w:t>
        </w:r>
      </w:hyperlink>
      <w:r>
        <w:rPr>
          <w:rFonts w:ascii="Arial" w:hAnsi="Arial" w:cs="Arial"/>
          <w:sz w:val="20"/>
          <w:szCs w:val="20"/>
        </w:rPr>
        <w:t xml:space="preserve"> настоящего документа величин мощности, оплачиваемой потребителями (покупателями), осуществляющими расчеты по третьей - шестой ценовым категориям.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Средневзвешенная нерегулируемая цена на электрическую энергию (мощность) рассчитывается гарантирующим поставщиком исходя из данных об объемах потребления электрической энергии (мощности), определяемых в соответствии с </w:t>
      </w:r>
      <w:hyperlink w:anchor="Par1220" w:history="1">
        <w:r>
          <w:rPr>
            <w:rFonts w:ascii="Arial" w:hAnsi="Arial" w:cs="Arial"/>
            <w:color w:val="0000FF"/>
            <w:sz w:val="20"/>
            <w:szCs w:val="20"/>
          </w:rPr>
          <w:t>разделом X</w:t>
        </w:r>
      </w:hyperlink>
      <w:r>
        <w:rPr>
          <w:rFonts w:ascii="Arial" w:hAnsi="Arial" w:cs="Arial"/>
          <w:sz w:val="20"/>
          <w:szCs w:val="20"/>
        </w:rPr>
        <w:t xml:space="preserve"> настоящего документа и используемых при расчете цены.</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Средневзвешенная нерегулируемая цена на электрическую энергию (мощность) в отношении потребителей (покупателей), осуществляющих расчеты по первой ценовой категории, определяется за расчетный период в соответствии с </w:t>
      </w:r>
      <w:hyperlink r:id="rId368" w:history="1">
        <w:r>
          <w:rPr>
            <w:rFonts w:ascii="Arial" w:hAnsi="Arial" w:cs="Arial"/>
            <w:color w:val="0000FF"/>
            <w:sz w:val="20"/>
            <w:szCs w:val="20"/>
          </w:rPr>
          <w:t>Правилами</w:t>
        </w:r>
      </w:hyperlink>
      <w:r>
        <w:rPr>
          <w:rFonts w:ascii="Arial" w:hAnsi="Arial" w:cs="Arial"/>
          <w:sz w:val="20"/>
          <w:szCs w:val="20"/>
        </w:rPr>
        <w:t xml:space="preserve"> определения и применения гарантирующими поставщиками нерегулируемых цен на электрическую энергию (мощность) с учетом данных, которые относятся к предыдущим расчетным периодам, в следующих случаях:</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изменение объемов покупки либо ценовой категории потребителя (покупателя) гарантирующего поставщика на основании решения суда;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изменение объемов покупки электрической энергии (мощности) гарантирующего поставщика у производителя электрической энергии (мощности) на розничном рынке на основании решения суда;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369"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23.01.2015 N 47)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абзац утратил силу с 1 июля 2020 года. - </w:t>
      </w:r>
      <w:hyperlink r:id="rId370" w:history="1">
        <w:r>
          <w:rPr>
            <w:rFonts w:ascii="Arial" w:hAnsi="Arial" w:cs="Arial"/>
            <w:color w:val="0000FF"/>
            <w:sz w:val="20"/>
            <w:szCs w:val="20"/>
          </w:rPr>
          <w:t>Постановление</w:t>
        </w:r>
      </w:hyperlink>
      <w:r>
        <w:rPr>
          <w:rFonts w:ascii="Arial" w:hAnsi="Arial" w:cs="Arial"/>
          <w:sz w:val="20"/>
          <w:szCs w:val="20"/>
        </w:rPr>
        <w:t xml:space="preserve"> Правительства РФ от 18.04.2020 N 554;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изменение составляющих предельных уровней нерегулируемых цен и иных параметров расчета, указанных в </w:t>
      </w:r>
      <w:hyperlink r:id="rId371" w:history="1">
        <w:r>
          <w:rPr>
            <w:rFonts w:ascii="Arial" w:hAnsi="Arial" w:cs="Arial"/>
            <w:color w:val="0000FF"/>
            <w:sz w:val="20"/>
            <w:szCs w:val="20"/>
          </w:rPr>
          <w:t>пунктах 183</w:t>
        </w:r>
      </w:hyperlink>
      <w:r>
        <w:rPr>
          <w:rFonts w:ascii="Arial" w:hAnsi="Arial" w:cs="Arial"/>
          <w:sz w:val="20"/>
          <w:szCs w:val="20"/>
        </w:rPr>
        <w:t xml:space="preserve"> и </w:t>
      </w:r>
      <w:hyperlink r:id="rId372" w:history="1">
        <w:r>
          <w:rPr>
            <w:rFonts w:ascii="Arial" w:hAnsi="Arial" w:cs="Arial"/>
            <w:color w:val="0000FF"/>
            <w:sz w:val="20"/>
            <w:szCs w:val="20"/>
          </w:rPr>
          <w:t>184</w:t>
        </w:r>
      </w:hyperlink>
      <w:r>
        <w:rPr>
          <w:rFonts w:ascii="Arial" w:hAnsi="Arial" w:cs="Arial"/>
          <w:sz w:val="20"/>
          <w:szCs w:val="20"/>
        </w:rPr>
        <w:t xml:space="preserve"> Правил оптового рынка, в соответствии с порядком, установленным договором о присоединении к торговой системе оптового рынка, в случае если эти изменения не были учтены при определении составляющих предельных уровней нерегулируемых цен и иных параметров расчета, указанных в </w:t>
      </w:r>
      <w:hyperlink r:id="rId373" w:history="1">
        <w:r>
          <w:rPr>
            <w:rFonts w:ascii="Arial" w:hAnsi="Arial" w:cs="Arial"/>
            <w:color w:val="0000FF"/>
            <w:sz w:val="20"/>
            <w:szCs w:val="20"/>
          </w:rPr>
          <w:t>пунктах 183</w:t>
        </w:r>
      </w:hyperlink>
      <w:r>
        <w:rPr>
          <w:rFonts w:ascii="Arial" w:hAnsi="Arial" w:cs="Arial"/>
          <w:sz w:val="20"/>
          <w:szCs w:val="20"/>
        </w:rPr>
        <w:t xml:space="preserve"> и </w:t>
      </w:r>
      <w:hyperlink r:id="rId374" w:history="1">
        <w:r>
          <w:rPr>
            <w:rFonts w:ascii="Arial" w:hAnsi="Arial" w:cs="Arial"/>
            <w:color w:val="0000FF"/>
            <w:sz w:val="20"/>
            <w:szCs w:val="20"/>
          </w:rPr>
          <w:t>184</w:t>
        </w:r>
      </w:hyperlink>
      <w:r>
        <w:rPr>
          <w:rFonts w:ascii="Arial" w:hAnsi="Arial" w:cs="Arial"/>
          <w:sz w:val="20"/>
          <w:szCs w:val="20"/>
        </w:rPr>
        <w:t xml:space="preserve"> Правил оптового рынка, за расчетный период.</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Средневзвешенные нерегулируемые цены электрической энергии (мощности) за предыдущие расчетные периоды изменению и перерасчету не подлежат.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До 1 июля 2013 г. при определении предельного уровня нерегулируемых цен для первой ценовой категории гарантирующий поставщик применяет минимальную из следующих цен:</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определенная в соответствии с настоящим пунктом средневзвешенная нерегулируемая цена на электрическую энергию (мощность);</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средневзвешенная нерегулируемая цена на электрическую энергию (мощность), рассчитываемая как сумма средневзвешенной нерегулируемой цены на электрическую энергию на оптовом рынке, определяемой за соответствующий расчетный период по результатам конкурентных отборов на сутки вперед и для балансирования системы коммерческим оператором для соответствующего гарантирующего поставщика в соответствии с </w:t>
      </w:r>
      <w:hyperlink w:anchor="Par932" w:history="1">
        <w:r>
          <w:rPr>
            <w:rFonts w:ascii="Arial" w:hAnsi="Arial" w:cs="Arial"/>
            <w:color w:val="0000FF"/>
            <w:sz w:val="20"/>
            <w:szCs w:val="20"/>
          </w:rPr>
          <w:t>пунктом 100</w:t>
        </w:r>
      </w:hyperlink>
      <w:r>
        <w:rPr>
          <w:rFonts w:ascii="Arial" w:hAnsi="Arial" w:cs="Arial"/>
          <w:sz w:val="20"/>
          <w:szCs w:val="20"/>
        </w:rPr>
        <w:t xml:space="preserve"> настоящего документа, и произведения средневзвешенной нерегулируемой цены на мощность на оптовом рынке, определенной коммерческим оператором для соответствующего гарантирующего поставщика в соответствии с </w:t>
      </w:r>
      <w:hyperlink w:anchor="Par932" w:history="1">
        <w:r>
          <w:rPr>
            <w:rFonts w:ascii="Arial" w:hAnsi="Arial" w:cs="Arial"/>
            <w:color w:val="0000FF"/>
            <w:sz w:val="20"/>
            <w:szCs w:val="20"/>
          </w:rPr>
          <w:t>пунктом 100</w:t>
        </w:r>
      </w:hyperlink>
      <w:r>
        <w:rPr>
          <w:rFonts w:ascii="Arial" w:hAnsi="Arial" w:cs="Arial"/>
          <w:sz w:val="20"/>
          <w:szCs w:val="20"/>
        </w:rPr>
        <w:t xml:space="preserve"> настоящего документа, и коэффициента оплаты мощности, равного 0,002087.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Гарантирующий поставщик публикует на своем сайте в сети "Интернет" не позднее 15 дней со дня окончания расчетного периода составляющие расчета средневзвешенных нерегулируемых цен на электрическую энергию (мощность), используемых для расчета предельного уровня нерегулируемых цен для первой ценовой категории, по форме в соответствии с </w:t>
      </w:r>
      <w:hyperlink r:id="rId375" w:history="1">
        <w:r>
          <w:rPr>
            <w:rFonts w:ascii="Arial" w:hAnsi="Arial" w:cs="Arial"/>
            <w:color w:val="0000FF"/>
            <w:sz w:val="20"/>
            <w:szCs w:val="20"/>
          </w:rPr>
          <w:t>Правилами</w:t>
        </w:r>
      </w:hyperlink>
      <w:r>
        <w:rPr>
          <w:rFonts w:ascii="Arial" w:hAnsi="Arial" w:cs="Arial"/>
          <w:sz w:val="20"/>
          <w:szCs w:val="20"/>
        </w:rPr>
        <w:t xml:space="preserve"> определения и применения гарантирующими поставщиками нерегулируемых цен на электрическую энергию (мощность).</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89. Предельный уровень нерегулируемых цен для второй ценовой категории гарантирующий поставщик рассчитывает в соответствии со следующей структурой нерегулируемой цены:</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сбытовая надбавка гарантирующего поставщика;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Par945" w:history="1">
        <w:r>
          <w:rPr>
            <w:rFonts w:ascii="Arial" w:hAnsi="Arial" w:cs="Arial"/>
            <w:color w:val="0000FF"/>
            <w:sz w:val="20"/>
            <w:szCs w:val="20"/>
          </w:rPr>
          <w:t>пунктом 101</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Указанные составляющие предельного уровня нерегулируемых цен определяются в рублях за мегаватт-час.</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Предельный уровень нерегулируемых цен для второй ценовой категории дифференцируется по зонам суток расчетного периода и определяется в одноставочном выражении как сумма указанных составляющих предельного уровня нерегулируемых цен.</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Отнесение часов расчетного периода к зонам суток производится в соответствии с </w:t>
      </w:r>
      <w:hyperlink r:id="rId376" w:history="1">
        <w:r>
          <w:rPr>
            <w:rFonts w:ascii="Arial" w:hAnsi="Arial" w:cs="Arial"/>
            <w:color w:val="0000FF"/>
            <w:sz w:val="20"/>
            <w:szCs w:val="20"/>
          </w:rPr>
          <w:t>решением</w:t>
        </w:r>
      </w:hyperlink>
      <w:r>
        <w:rPr>
          <w:rFonts w:ascii="Arial" w:hAnsi="Arial" w:cs="Arial"/>
          <w:sz w:val="20"/>
          <w:szCs w:val="20"/>
        </w:rPr>
        <w:t xml:space="preserve"> федерального органа исполнительной власти в области регулирования тарифов об интервалах тарифных зон суток.</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90. Для первой и второй ценовых категорий нерегулируемая цена на электрическую энергию (мощность) в рамках соответствующего предельного уровня нерегулируемых цен применяется гарантирующим поставщиком к объему покупки электрической энергии потребителем (покупателем) за расчетный период (с детализацией по зонам суток - для второй ценовой категории), из которого исключен фактический объем покупки в целях обеспечения потребления электрической энергии населением и приравненными к нему категориями потребителей. При этом для второй ценовой категории в случае отсутствия учета по зонам суток в отношении объемов электрической энергии, поставляемой покупателем населению и приравненным к нему категориям потребителей, в каждой зоне суток доля покупки электрической энергии в целях обеспечения потребления электрической энергии населением и приравненными к нему категориями потребителей принимается равной доле совокупного объема покупки электрической энергии для указанных целей за расчетный период в фактическом совокупном объеме покупки электрической энергии потребителем (покупателем) за расчетный период.</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91. Предельный уровень нерегулируемых цен для третьей ценовой категории гарантирующий поставщик рассчитывает в соответствии со следующей структурой нерегулируемой цены:</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90" w:name="Par778"/>
      <w:bookmarkEnd w:id="90"/>
      <w:r>
        <w:rPr>
          <w:rFonts w:ascii="Arial" w:hAnsi="Arial" w:cs="Arial"/>
          <w:sz w:val="20"/>
          <w:szCs w:val="20"/>
        </w:rPr>
        <w:lastRenderedPageBreak/>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91" w:name="Par779"/>
      <w:bookmarkEnd w:id="91"/>
      <w:r>
        <w:rPr>
          <w:rFonts w:ascii="Arial" w:hAnsi="Arial" w:cs="Arial"/>
          <w:sz w:val="20"/>
          <w:szCs w:val="20"/>
        </w:rPr>
        <w:t>средневзвешенная нерегулируемая цена на мощность на оптовом рынке;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92" w:name="Par780"/>
      <w:bookmarkEnd w:id="92"/>
      <w:r>
        <w:rPr>
          <w:rFonts w:ascii="Arial" w:hAnsi="Arial" w:cs="Arial"/>
          <w:sz w:val="20"/>
          <w:szCs w:val="20"/>
        </w:rP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сбытовая надбавка гарантирующего поставщика;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93" w:name="Par782"/>
      <w:bookmarkEnd w:id="93"/>
      <w:r>
        <w:rPr>
          <w:rFonts w:ascii="Arial" w:hAnsi="Arial" w:cs="Arial"/>
          <w:sz w:val="20"/>
          <w:szCs w:val="20"/>
        </w:rP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Par945" w:history="1">
        <w:r>
          <w:rPr>
            <w:rFonts w:ascii="Arial" w:hAnsi="Arial" w:cs="Arial"/>
            <w:color w:val="0000FF"/>
            <w:sz w:val="20"/>
            <w:szCs w:val="20"/>
          </w:rPr>
          <w:t>пунктом 101</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Указанные в </w:t>
      </w:r>
      <w:hyperlink w:anchor="Par778" w:history="1">
        <w:r>
          <w:rPr>
            <w:rFonts w:ascii="Arial" w:hAnsi="Arial" w:cs="Arial"/>
            <w:color w:val="0000FF"/>
            <w:sz w:val="20"/>
            <w:szCs w:val="20"/>
          </w:rPr>
          <w:t>абзацах втором</w:t>
        </w:r>
      </w:hyperlink>
      <w:r>
        <w:rPr>
          <w:rFonts w:ascii="Arial" w:hAnsi="Arial" w:cs="Arial"/>
          <w:sz w:val="20"/>
          <w:szCs w:val="20"/>
        </w:rPr>
        <w:t xml:space="preserve">, </w:t>
      </w:r>
      <w:hyperlink w:anchor="Par780" w:history="1">
        <w:r>
          <w:rPr>
            <w:rFonts w:ascii="Arial" w:hAnsi="Arial" w:cs="Arial"/>
            <w:color w:val="0000FF"/>
            <w:sz w:val="20"/>
            <w:szCs w:val="20"/>
          </w:rPr>
          <w:t>четвертом</w:t>
        </w:r>
      </w:hyperlink>
      <w:r>
        <w:rPr>
          <w:rFonts w:ascii="Arial" w:hAnsi="Arial" w:cs="Arial"/>
          <w:sz w:val="20"/>
          <w:szCs w:val="20"/>
        </w:rPr>
        <w:t xml:space="preserve"> - </w:t>
      </w:r>
      <w:hyperlink w:anchor="Par782" w:history="1">
        <w:r>
          <w:rPr>
            <w:rFonts w:ascii="Arial" w:hAnsi="Arial" w:cs="Arial"/>
            <w:color w:val="0000FF"/>
            <w:sz w:val="20"/>
            <w:szCs w:val="20"/>
          </w:rPr>
          <w:t>шестом</w:t>
        </w:r>
      </w:hyperlink>
      <w:r>
        <w:rPr>
          <w:rFonts w:ascii="Arial" w:hAnsi="Arial" w:cs="Arial"/>
          <w:sz w:val="20"/>
          <w:szCs w:val="20"/>
        </w:rPr>
        <w:t xml:space="preserve"> настоящего пункта составляющие предельного уровня нерегулируемых цен определяются в рублях за мегаватт-час. Указанная в </w:t>
      </w:r>
      <w:hyperlink w:anchor="Par779" w:history="1">
        <w:r>
          <w:rPr>
            <w:rFonts w:ascii="Arial" w:hAnsi="Arial" w:cs="Arial"/>
            <w:color w:val="0000FF"/>
            <w:sz w:val="20"/>
            <w:szCs w:val="20"/>
          </w:rPr>
          <w:t>абзаце третьем</w:t>
        </w:r>
      </w:hyperlink>
      <w:r>
        <w:rPr>
          <w:rFonts w:ascii="Arial" w:hAnsi="Arial" w:cs="Arial"/>
          <w:sz w:val="20"/>
          <w:szCs w:val="20"/>
        </w:rPr>
        <w:t xml:space="preserve"> настоящего пункта составляющая предельного уровня нерегулируемых цен определяется в рублях за мегаватт.</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377"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21.07.2017 N 863)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Предельный уровень нерегулируемых цен для третьей ценовой категории включает: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ставку за электрическую энергию, величина которой определяется равной сумме составляющих, указанных в </w:t>
      </w:r>
      <w:hyperlink w:anchor="Par778" w:history="1">
        <w:r>
          <w:rPr>
            <w:rFonts w:ascii="Arial" w:hAnsi="Arial" w:cs="Arial"/>
            <w:color w:val="0000FF"/>
            <w:sz w:val="20"/>
            <w:szCs w:val="20"/>
          </w:rPr>
          <w:t>абзацах втором</w:t>
        </w:r>
      </w:hyperlink>
      <w:r>
        <w:rPr>
          <w:rFonts w:ascii="Arial" w:hAnsi="Arial" w:cs="Arial"/>
          <w:sz w:val="20"/>
          <w:szCs w:val="20"/>
        </w:rPr>
        <w:t xml:space="preserve"> и </w:t>
      </w:r>
      <w:hyperlink w:anchor="Par780" w:history="1">
        <w:r>
          <w:rPr>
            <w:rFonts w:ascii="Arial" w:hAnsi="Arial" w:cs="Arial"/>
            <w:color w:val="0000FF"/>
            <w:sz w:val="20"/>
            <w:szCs w:val="20"/>
          </w:rPr>
          <w:t>четвертом</w:t>
        </w:r>
      </w:hyperlink>
      <w:r>
        <w:rPr>
          <w:rFonts w:ascii="Arial" w:hAnsi="Arial" w:cs="Arial"/>
          <w:sz w:val="20"/>
          <w:szCs w:val="20"/>
        </w:rPr>
        <w:t xml:space="preserve"> - </w:t>
      </w:r>
      <w:hyperlink w:anchor="Par782" w:history="1">
        <w:r>
          <w:rPr>
            <w:rFonts w:ascii="Arial" w:hAnsi="Arial" w:cs="Arial"/>
            <w:color w:val="0000FF"/>
            <w:sz w:val="20"/>
            <w:szCs w:val="20"/>
          </w:rPr>
          <w:t>шестом</w:t>
        </w:r>
      </w:hyperlink>
      <w:r>
        <w:rPr>
          <w:rFonts w:ascii="Arial" w:hAnsi="Arial" w:cs="Arial"/>
          <w:sz w:val="20"/>
          <w:szCs w:val="20"/>
        </w:rPr>
        <w:t xml:space="preserve"> настоящего пункта;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ставку за мощность, приобретаемую потребителем (покупателем), величина которой определяется равной составляющей, указанной в </w:t>
      </w:r>
      <w:hyperlink w:anchor="Par779" w:history="1">
        <w:r>
          <w:rPr>
            <w:rFonts w:ascii="Arial" w:hAnsi="Arial" w:cs="Arial"/>
            <w:color w:val="0000FF"/>
            <w:sz w:val="20"/>
            <w:szCs w:val="20"/>
          </w:rPr>
          <w:t>абзаце третьем</w:t>
        </w:r>
      </w:hyperlink>
      <w:r>
        <w:rPr>
          <w:rFonts w:ascii="Arial" w:hAnsi="Arial" w:cs="Arial"/>
          <w:sz w:val="20"/>
          <w:szCs w:val="20"/>
        </w:rPr>
        <w:t xml:space="preserve"> настоящего пункта.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378"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21.07.2017 N 863)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92. Предельный уровень нерегулируемых цен для четвертой ценовой категории гарантирующий поставщик рассчитывает в соответствии со следующей структурой нерегулируемой цены:</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94" w:name="Par790"/>
      <w:bookmarkEnd w:id="94"/>
      <w:r>
        <w:rPr>
          <w:rFonts w:ascii="Arial" w:hAnsi="Arial" w:cs="Arial"/>
          <w:sz w:val="20"/>
          <w:szCs w:val="20"/>
        </w:rP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95" w:name="Par791"/>
      <w:bookmarkEnd w:id="95"/>
      <w:r>
        <w:rPr>
          <w:rFonts w:ascii="Arial" w:hAnsi="Arial" w:cs="Arial"/>
          <w:sz w:val="20"/>
          <w:szCs w:val="20"/>
        </w:rPr>
        <w:t>средневзвешенная нерегулируемая цена на мощность на оптовом рынке;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96" w:name="Par792"/>
      <w:bookmarkEnd w:id="96"/>
      <w:r>
        <w:rPr>
          <w:rFonts w:ascii="Arial" w:hAnsi="Arial" w:cs="Arial"/>
          <w:sz w:val="20"/>
          <w:szCs w:val="20"/>
        </w:rPr>
        <w:t>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97" w:name="Par793"/>
      <w:bookmarkEnd w:id="97"/>
      <w:r>
        <w:rPr>
          <w:rFonts w:ascii="Arial" w:hAnsi="Arial" w:cs="Arial"/>
          <w:sz w:val="20"/>
          <w:szCs w:val="20"/>
        </w:rPr>
        <w:t>ставка, отражающая удельную величину расходов на содержание электрических сетей, тарифа на услуги по передаче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98" w:name="Par794"/>
      <w:bookmarkEnd w:id="98"/>
      <w:r>
        <w:rPr>
          <w:rFonts w:ascii="Arial" w:hAnsi="Arial" w:cs="Arial"/>
          <w:sz w:val="20"/>
          <w:szCs w:val="20"/>
        </w:rPr>
        <w:t>сбытовая надбавка гарантирующего поставщика;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99" w:name="Par795"/>
      <w:bookmarkEnd w:id="99"/>
      <w:r>
        <w:rPr>
          <w:rFonts w:ascii="Arial" w:hAnsi="Arial" w:cs="Arial"/>
          <w:sz w:val="20"/>
          <w:szCs w:val="20"/>
        </w:rP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Par945" w:history="1">
        <w:r>
          <w:rPr>
            <w:rFonts w:ascii="Arial" w:hAnsi="Arial" w:cs="Arial"/>
            <w:color w:val="0000FF"/>
            <w:sz w:val="20"/>
            <w:szCs w:val="20"/>
          </w:rPr>
          <w:t>пунктом 101</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Указанные в </w:t>
      </w:r>
      <w:hyperlink w:anchor="Par790" w:history="1">
        <w:r>
          <w:rPr>
            <w:rFonts w:ascii="Arial" w:hAnsi="Arial" w:cs="Arial"/>
            <w:color w:val="0000FF"/>
            <w:sz w:val="20"/>
            <w:szCs w:val="20"/>
          </w:rPr>
          <w:t>абзацах втором</w:t>
        </w:r>
      </w:hyperlink>
      <w:r>
        <w:rPr>
          <w:rFonts w:ascii="Arial" w:hAnsi="Arial" w:cs="Arial"/>
          <w:sz w:val="20"/>
          <w:szCs w:val="20"/>
        </w:rPr>
        <w:t xml:space="preserve">, </w:t>
      </w:r>
      <w:hyperlink w:anchor="Par792" w:history="1">
        <w:r>
          <w:rPr>
            <w:rFonts w:ascii="Arial" w:hAnsi="Arial" w:cs="Arial"/>
            <w:color w:val="0000FF"/>
            <w:sz w:val="20"/>
            <w:szCs w:val="20"/>
          </w:rPr>
          <w:t>четвертом</w:t>
        </w:r>
      </w:hyperlink>
      <w:r>
        <w:rPr>
          <w:rFonts w:ascii="Arial" w:hAnsi="Arial" w:cs="Arial"/>
          <w:sz w:val="20"/>
          <w:szCs w:val="20"/>
        </w:rPr>
        <w:t xml:space="preserve">, </w:t>
      </w:r>
      <w:hyperlink w:anchor="Par794" w:history="1">
        <w:r>
          <w:rPr>
            <w:rFonts w:ascii="Arial" w:hAnsi="Arial" w:cs="Arial"/>
            <w:color w:val="0000FF"/>
            <w:sz w:val="20"/>
            <w:szCs w:val="20"/>
          </w:rPr>
          <w:t>шестом</w:t>
        </w:r>
      </w:hyperlink>
      <w:r>
        <w:rPr>
          <w:rFonts w:ascii="Arial" w:hAnsi="Arial" w:cs="Arial"/>
          <w:sz w:val="20"/>
          <w:szCs w:val="20"/>
        </w:rPr>
        <w:t xml:space="preserve"> и </w:t>
      </w:r>
      <w:hyperlink w:anchor="Par795" w:history="1">
        <w:r>
          <w:rPr>
            <w:rFonts w:ascii="Arial" w:hAnsi="Arial" w:cs="Arial"/>
            <w:color w:val="0000FF"/>
            <w:sz w:val="20"/>
            <w:szCs w:val="20"/>
          </w:rPr>
          <w:t>седьмом</w:t>
        </w:r>
      </w:hyperlink>
      <w:r>
        <w:rPr>
          <w:rFonts w:ascii="Arial" w:hAnsi="Arial" w:cs="Arial"/>
          <w:sz w:val="20"/>
          <w:szCs w:val="20"/>
        </w:rPr>
        <w:t xml:space="preserve"> настоящего пункта составляющие предельного уровня нерегулируемых цен определяются в рублях за мегаватт-час. Указанные в </w:t>
      </w:r>
      <w:hyperlink w:anchor="Par791" w:history="1">
        <w:r>
          <w:rPr>
            <w:rFonts w:ascii="Arial" w:hAnsi="Arial" w:cs="Arial"/>
            <w:color w:val="0000FF"/>
            <w:sz w:val="20"/>
            <w:szCs w:val="20"/>
          </w:rPr>
          <w:t>абзацах третьем</w:t>
        </w:r>
      </w:hyperlink>
      <w:r>
        <w:rPr>
          <w:rFonts w:ascii="Arial" w:hAnsi="Arial" w:cs="Arial"/>
          <w:sz w:val="20"/>
          <w:szCs w:val="20"/>
        </w:rPr>
        <w:t xml:space="preserve"> и </w:t>
      </w:r>
      <w:hyperlink w:anchor="Par793" w:history="1">
        <w:r>
          <w:rPr>
            <w:rFonts w:ascii="Arial" w:hAnsi="Arial" w:cs="Arial"/>
            <w:color w:val="0000FF"/>
            <w:sz w:val="20"/>
            <w:szCs w:val="20"/>
          </w:rPr>
          <w:t>пятом</w:t>
        </w:r>
      </w:hyperlink>
      <w:r>
        <w:rPr>
          <w:rFonts w:ascii="Arial" w:hAnsi="Arial" w:cs="Arial"/>
          <w:sz w:val="20"/>
          <w:szCs w:val="20"/>
        </w:rPr>
        <w:t xml:space="preserve"> настоящего пункта составляющие предельного уровня нерегулируемых цен определяются в рублях за мегаватт.</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379"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21.07.2017 N 863)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Предельный уровень нерегулируемых цен для четвертой ценовой категории включает: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ставку за электрическую энергию, величина которой определяется равной сумме составляющих, указанных в </w:t>
      </w:r>
      <w:hyperlink w:anchor="Par790" w:history="1">
        <w:r>
          <w:rPr>
            <w:rFonts w:ascii="Arial" w:hAnsi="Arial" w:cs="Arial"/>
            <w:color w:val="0000FF"/>
            <w:sz w:val="20"/>
            <w:szCs w:val="20"/>
          </w:rPr>
          <w:t>абзацах втором</w:t>
        </w:r>
      </w:hyperlink>
      <w:r>
        <w:rPr>
          <w:rFonts w:ascii="Arial" w:hAnsi="Arial" w:cs="Arial"/>
          <w:sz w:val="20"/>
          <w:szCs w:val="20"/>
        </w:rPr>
        <w:t xml:space="preserve">, </w:t>
      </w:r>
      <w:hyperlink w:anchor="Par792" w:history="1">
        <w:r>
          <w:rPr>
            <w:rFonts w:ascii="Arial" w:hAnsi="Arial" w:cs="Arial"/>
            <w:color w:val="0000FF"/>
            <w:sz w:val="20"/>
            <w:szCs w:val="20"/>
          </w:rPr>
          <w:t>четвертом</w:t>
        </w:r>
      </w:hyperlink>
      <w:r>
        <w:rPr>
          <w:rFonts w:ascii="Arial" w:hAnsi="Arial" w:cs="Arial"/>
          <w:sz w:val="20"/>
          <w:szCs w:val="20"/>
        </w:rPr>
        <w:t xml:space="preserve">, </w:t>
      </w:r>
      <w:hyperlink w:anchor="Par794" w:history="1">
        <w:r>
          <w:rPr>
            <w:rFonts w:ascii="Arial" w:hAnsi="Arial" w:cs="Arial"/>
            <w:color w:val="0000FF"/>
            <w:sz w:val="20"/>
            <w:szCs w:val="20"/>
          </w:rPr>
          <w:t>шестом</w:t>
        </w:r>
      </w:hyperlink>
      <w:r>
        <w:rPr>
          <w:rFonts w:ascii="Arial" w:hAnsi="Arial" w:cs="Arial"/>
          <w:sz w:val="20"/>
          <w:szCs w:val="20"/>
        </w:rPr>
        <w:t xml:space="preserve"> и </w:t>
      </w:r>
      <w:hyperlink w:anchor="Par795" w:history="1">
        <w:r>
          <w:rPr>
            <w:rFonts w:ascii="Arial" w:hAnsi="Arial" w:cs="Arial"/>
            <w:color w:val="0000FF"/>
            <w:sz w:val="20"/>
            <w:szCs w:val="20"/>
          </w:rPr>
          <w:t>седьмом</w:t>
        </w:r>
      </w:hyperlink>
      <w:r>
        <w:rPr>
          <w:rFonts w:ascii="Arial" w:hAnsi="Arial" w:cs="Arial"/>
          <w:sz w:val="20"/>
          <w:szCs w:val="20"/>
        </w:rPr>
        <w:t xml:space="preserve"> настоящего пункта;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ставку за мощность, приобретаемую потребителем (покупателем), величина которой определяется равной составляющей, указанной в </w:t>
      </w:r>
      <w:hyperlink w:anchor="Par791" w:history="1">
        <w:r>
          <w:rPr>
            <w:rFonts w:ascii="Arial" w:hAnsi="Arial" w:cs="Arial"/>
            <w:color w:val="0000FF"/>
            <w:sz w:val="20"/>
            <w:szCs w:val="20"/>
          </w:rPr>
          <w:t>абзаце третьем</w:t>
        </w:r>
      </w:hyperlink>
      <w:r>
        <w:rPr>
          <w:rFonts w:ascii="Arial" w:hAnsi="Arial" w:cs="Arial"/>
          <w:sz w:val="20"/>
          <w:szCs w:val="20"/>
        </w:rPr>
        <w:t xml:space="preserve"> настоящего пункта;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380"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21.07.2017 N 863)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ставку тарифа на услуги по передаче электрической энергии за содержание электрических сетей, величина которой определяется равной составляющей, указанной в </w:t>
      </w:r>
      <w:hyperlink w:anchor="Par793" w:history="1">
        <w:r>
          <w:rPr>
            <w:rFonts w:ascii="Arial" w:hAnsi="Arial" w:cs="Arial"/>
            <w:color w:val="0000FF"/>
            <w:sz w:val="20"/>
            <w:szCs w:val="20"/>
          </w:rPr>
          <w:t>абзаце пятом</w:t>
        </w:r>
      </w:hyperlink>
      <w:r>
        <w:rPr>
          <w:rFonts w:ascii="Arial" w:hAnsi="Arial" w:cs="Arial"/>
          <w:sz w:val="20"/>
          <w:szCs w:val="20"/>
        </w:rPr>
        <w:t xml:space="preserve"> настоящего пункта.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93. Предельный уровень нерегулируемых цен для пятой ценовой категории гарантирующий поставщик рассчитывает в соответствии со следующей структурой нерегулируемой цены:</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00" w:name="Par804"/>
      <w:bookmarkEnd w:id="100"/>
      <w:r>
        <w:rPr>
          <w:rFonts w:ascii="Arial" w:hAnsi="Arial" w:cs="Arial"/>
          <w:sz w:val="20"/>
          <w:szCs w:val="20"/>
        </w:rP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01" w:name="Par805"/>
      <w:bookmarkEnd w:id="101"/>
      <w:r>
        <w:rPr>
          <w:rFonts w:ascii="Arial" w:hAnsi="Arial" w:cs="Arial"/>
          <w:sz w:val="20"/>
          <w:szCs w:val="20"/>
        </w:rPr>
        <w:t>средневзвешенная нерегулируемая цена на мощность на оптовом рынке;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02" w:name="Par806"/>
      <w:bookmarkEnd w:id="102"/>
      <w:r>
        <w:rPr>
          <w:rFonts w:ascii="Arial" w:hAnsi="Arial" w:cs="Arial"/>
          <w:sz w:val="20"/>
          <w:szCs w:val="20"/>
        </w:rP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03" w:name="Par807"/>
      <w:bookmarkEnd w:id="103"/>
      <w:r>
        <w:rPr>
          <w:rFonts w:ascii="Arial" w:hAnsi="Arial" w:cs="Arial"/>
          <w:sz w:val="20"/>
          <w:szCs w:val="20"/>
        </w:rP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04" w:name="Par808"/>
      <w:bookmarkEnd w:id="104"/>
      <w:r>
        <w:rPr>
          <w:rFonts w:ascii="Arial" w:hAnsi="Arial" w:cs="Arial"/>
          <w:sz w:val="20"/>
          <w:szCs w:val="20"/>
        </w:rP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05" w:name="Par809"/>
      <w:bookmarkEnd w:id="105"/>
      <w:r>
        <w:rPr>
          <w:rFonts w:ascii="Arial" w:hAnsi="Arial" w:cs="Arial"/>
          <w:sz w:val="20"/>
          <w:szCs w:val="20"/>
        </w:rP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06" w:name="Par810"/>
      <w:bookmarkEnd w:id="106"/>
      <w:r>
        <w:rPr>
          <w:rFonts w:ascii="Arial" w:hAnsi="Arial" w:cs="Arial"/>
          <w:sz w:val="20"/>
          <w:szCs w:val="20"/>
        </w:rP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сбытовая надбавка гарантирующего поставщика;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07" w:name="Par812"/>
      <w:bookmarkEnd w:id="107"/>
      <w:r>
        <w:rPr>
          <w:rFonts w:ascii="Arial" w:hAnsi="Arial" w:cs="Arial"/>
          <w:sz w:val="20"/>
          <w:szCs w:val="20"/>
        </w:rP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Par945" w:history="1">
        <w:r>
          <w:rPr>
            <w:rFonts w:ascii="Arial" w:hAnsi="Arial" w:cs="Arial"/>
            <w:color w:val="0000FF"/>
            <w:sz w:val="20"/>
            <w:szCs w:val="20"/>
          </w:rPr>
          <w:t>пунктом 101</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Указанные в </w:t>
      </w:r>
      <w:hyperlink w:anchor="Par804" w:history="1">
        <w:r>
          <w:rPr>
            <w:rFonts w:ascii="Arial" w:hAnsi="Arial" w:cs="Arial"/>
            <w:color w:val="0000FF"/>
            <w:sz w:val="20"/>
            <w:szCs w:val="20"/>
          </w:rPr>
          <w:t>абзацах втором</w:t>
        </w:r>
      </w:hyperlink>
      <w:r>
        <w:rPr>
          <w:rFonts w:ascii="Arial" w:hAnsi="Arial" w:cs="Arial"/>
          <w:sz w:val="20"/>
          <w:szCs w:val="20"/>
        </w:rPr>
        <w:t xml:space="preserve">, </w:t>
      </w:r>
      <w:hyperlink w:anchor="Par806" w:history="1">
        <w:r>
          <w:rPr>
            <w:rFonts w:ascii="Arial" w:hAnsi="Arial" w:cs="Arial"/>
            <w:color w:val="0000FF"/>
            <w:sz w:val="20"/>
            <w:szCs w:val="20"/>
          </w:rPr>
          <w:t>четвертом</w:t>
        </w:r>
      </w:hyperlink>
      <w:r>
        <w:rPr>
          <w:rFonts w:ascii="Arial" w:hAnsi="Arial" w:cs="Arial"/>
          <w:sz w:val="20"/>
          <w:szCs w:val="20"/>
        </w:rPr>
        <w:t xml:space="preserve"> - </w:t>
      </w:r>
      <w:hyperlink w:anchor="Par812" w:history="1">
        <w:r>
          <w:rPr>
            <w:rFonts w:ascii="Arial" w:hAnsi="Arial" w:cs="Arial"/>
            <w:color w:val="0000FF"/>
            <w:sz w:val="20"/>
            <w:szCs w:val="20"/>
          </w:rPr>
          <w:t>десятом</w:t>
        </w:r>
      </w:hyperlink>
      <w:r>
        <w:rPr>
          <w:rFonts w:ascii="Arial" w:hAnsi="Arial" w:cs="Arial"/>
          <w:sz w:val="20"/>
          <w:szCs w:val="20"/>
        </w:rPr>
        <w:t xml:space="preserve"> настоящего пункта составляющие предельного уровня нерегулируемых цен определяются в рублях за мегаватт-час. Указанная в </w:t>
      </w:r>
      <w:hyperlink w:anchor="Par805" w:history="1">
        <w:r>
          <w:rPr>
            <w:rFonts w:ascii="Arial" w:hAnsi="Arial" w:cs="Arial"/>
            <w:color w:val="0000FF"/>
            <w:sz w:val="20"/>
            <w:szCs w:val="20"/>
          </w:rPr>
          <w:t>абзаце третьем</w:t>
        </w:r>
      </w:hyperlink>
      <w:r>
        <w:rPr>
          <w:rFonts w:ascii="Arial" w:hAnsi="Arial" w:cs="Arial"/>
          <w:sz w:val="20"/>
          <w:szCs w:val="20"/>
        </w:rPr>
        <w:t xml:space="preserve"> настоящего пункта составляющая предельного уровня нерегулируемых цен определяется в рублях за мегаватт.</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381"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21.07.2017 N 863)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Предельный уровень нерегулируемых цен для пятой ценовой категории включает: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ставку за электрическую энергию, величина которой определяется равной сумме составляющих, указанных в </w:t>
      </w:r>
      <w:hyperlink w:anchor="Par804" w:history="1">
        <w:r>
          <w:rPr>
            <w:rFonts w:ascii="Arial" w:hAnsi="Arial" w:cs="Arial"/>
            <w:color w:val="0000FF"/>
            <w:sz w:val="20"/>
            <w:szCs w:val="20"/>
          </w:rPr>
          <w:t>абзацах втором</w:t>
        </w:r>
      </w:hyperlink>
      <w:r>
        <w:rPr>
          <w:rFonts w:ascii="Arial" w:hAnsi="Arial" w:cs="Arial"/>
          <w:sz w:val="20"/>
          <w:szCs w:val="20"/>
        </w:rPr>
        <w:t xml:space="preserve"> и </w:t>
      </w:r>
      <w:hyperlink w:anchor="Par810" w:history="1">
        <w:r>
          <w:rPr>
            <w:rFonts w:ascii="Arial" w:hAnsi="Arial" w:cs="Arial"/>
            <w:color w:val="0000FF"/>
            <w:sz w:val="20"/>
            <w:szCs w:val="20"/>
          </w:rPr>
          <w:t>восьмом</w:t>
        </w:r>
      </w:hyperlink>
      <w:r>
        <w:rPr>
          <w:rFonts w:ascii="Arial" w:hAnsi="Arial" w:cs="Arial"/>
          <w:sz w:val="20"/>
          <w:szCs w:val="20"/>
        </w:rPr>
        <w:t xml:space="preserve"> - </w:t>
      </w:r>
      <w:hyperlink w:anchor="Par812" w:history="1">
        <w:r>
          <w:rPr>
            <w:rFonts w:ascii="Arial" w:hAnsi="Arial" w:cs="Arial"/>
            <w:color w:val="0000FF"/>
            <w:sz w:val="20"/>
            <w:szCs w:val="20"/>
          </w:rPr>
          <w:t>десятом</w:t>
        </w:r>
      </w:hyperlink>
      <w:r>
        <w:rPr>
          <w:rFonts w:ascii="Arial" w:hAnsi="Arial" w:cs="Arial"/>
          <w:sz w:val="20"/>
          <w:szCs w:val="20"/>
        </w:rPr>
        <w:t xml:space="preserve"> настоящего пункта, в рамках которой ставка за электрическую энергию нерегулируемой цены применяется в порядке, предусмотренном </w:t>
      </w:r>
      <w:hyperlink w:anchor="Par853" w:history="1">
        <w:r>
          <w:rPr>
            <w:rFonts w:ascii="Arial" w:hAnsi="Arial" w:cs="Arial"/>
            <w:color w:val="0000FF"/>
            <w:sz w:val="20"/>
            <w:szCs w:val="20"/>
          </w:rPr>
          <w:t>пунктом 95</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anchor="Par806" w:history="1">
        <w:r>
          <w:rPr>
            <w:rFonts w:ascii="Arial" w:hAnsi="Arial" w:cs="Arial"/>
            <w:color w:val="0000FF"/>
            <w:sz w:val="20"/>
            <w:szCs w:val="20"/>
          </w:rPr>
          <w:t>абзаце четвертом</w:t>
        </w:r>
      </w:hyperlink>
      <w:r>
        <w:rPr>
          <w:rFonts w:ascii="Arial" w:hAnsi="Arial" w:cs="Arial"/>
          <w:sz w:val="20"/>
          <w:szCs w:val="20"/>
        </w:rPr>
        <w:t xml:space="preserve"> настоящего пункта;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(в ред. </w:t>
      </w:r>
      <w:hyperlink r:id="rId382"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21.07.2017 N 863)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anchor="Par807" w:history="1">
        <w:r>
          <w:rPr>
            <w:rFonts w:ascii="Arial" w:hAnsi="Arial" w:cs="Arial"/>
            <w:color w:val="0000FF"/>
            <w:sz w:val="20"/>
            <w:szCs w:val="20"/>
          </w:rPr>
          <w:t>абзаце пятом</w:t>
        </w:r>
      </w:hyperlink>
      <w:r>
        <w:rPr>
          <w:rFonts w:ascii="Arial" w:hAnsi="Arial" w:cs="Arial"/>
          <w:sz w:val="20"/>
          <w:szCs w:val="20"/>
        </w:rPr>
        <w:t xml:space="preserve"> настоящего пункта;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383"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21.07.2017 N 863)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ar808" w:history="1">
        <w:r>
          <w:rPr>
            <w:rFonts w:ascii="Arial" w:hAnsi="Arial" w:cs="Arial"/>
            <w:color w:val="0000FF"/>
            <w:sz w:val="20"/>
            <w:szCs w:val="20"/>
          </w:rPr>
          <w:t>абзаце шестом</w:t>
        </w:r>
      </w:hyperlink>
      <w:r>
        <w:rPr>
          <w:rFonts w:ascii="Arial" w:hAnsi="Arial" w:cs="Arial"/>
          <w:sz w:val="20"/>
          <w:szCs w:val="20"/>
        </w:rPr>
        <w:t xml:space="preserve"> настоящего пункта. В случае если составляющая, указанная в </w:t>
      </w:r>
      <w:hyperlink w:anchor="Par808" w:history="1">
        <w:r>
          <w:rPr>
            <w:rFonts w:ascii="Arial" w:hAnsi="Arial" w:cs="Arial"/>
            <w:color w:val="0000FF"/>
            <w:sz w:val="20"/>
            <w:szCs w:val="20"/>
          </w:rPr>
          <w:t>абзаце шестом</w:t>
        </w:r>
      </w:hyperlink>
      <w:r>
        <w:rPr>
          <w:rFonts w:ascii="Arial" w:hAnsi="Arial" w:cs="Arial"/>
          <w:sz w:val="20"/>
          <w:szCs w:val="20"/>
        </w:rP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ar808" w:history="1">
        <w:r>
          <w:rPr>
            <w:rFonts w:ascii="Arial" w:hAnsi="Arial" w:cs="Arial"/>
            <w:color w:val="0000FF"/>
            <w:sz w:val="20"/>
            <w:szCs w:val="20"/>
          </w:rPr>
          <w:t>абзаце шестом</w:t>
        </w:r>
      </w:hyperlink>
      <w:r>
        <w:rPr>
          <w:rFonts w:ascii="Arial" w:hAnsi="Arial" w:cs="Arial"/>
          <w:sz w:val="20"/>
          <w:szCs w:val="20"/>
        </w:rPr>
        <w:t xml:space="preserve"> настоящего пункта, имеет отрицательный знак,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384"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21.07.2017 N 863)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ar809" w:history="1">
        <w:r>
          <w:rPr>
            <w:rFonts w:ascii="Arial" w:hAnsi="Arial" w:cs="Arial"/>
            <w:color w:val="0000FF"/>
            <w:sz w:val="20"/>
            <w:szCs w:val="20"/>
          </w:rPr>
          <w:t>абзаце седьмом</w:t>
        </w:r>
      </w:hyperlink>
      <w:r>
        <w:rPr>
          <w:rFonts w:ascii="Arial" w:hAnsi="Arial" w:cs="Arial"/>
          <w:sz w:val="20"/>
          <w:szCs w:val="20"/>
        </w:rPr>
        <w:t xml:space="preserve"> настоящего пункта. В случае если составляющая, указанная в </w:t>
      </w:r>
      <w:hyperlink w:anchor="Par809" w:history="1">
        <w:r>
          <w:rPr>
            <w:rFonts w:ascii="Arial" w:hAnsi="Arial" w:cs="Arial"/>
            <w:color w:val="0000FF"/>
            <w:sz w:val="20"/>
            <w:szCs w:val="20"/>
          </w:rPr>
          <w:t>абзаце седьмом</w:t>
        </w:r>
      </w:hyperlink>
      <w:r>
        <w:rPr>
          <w:rFonts w:ascii="Arial" w:hAnsi="Arial" w:cs="Arial"/>
          <w:sz w:val="20"/>
          <w:szCs w:val="20"/>
        </w:rPr>
        <w:t xml:space="preserve"> настоящего пункта, имеет положительный знак,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ar809" w:history="1">
        <w:r>
          <w:rPr>
            <w:rFonts w:ascii="Arial" w:hAnsi="Arial" w:cs="Arial"/>
            <w:color w:val="0000FF"/>
            <w:sz w:val="20"/>
            <w:szCs w:val="20"/>
          </w:rPr>
          <w:t>абзаце седьмом</w:t>
        </w:r>
      </w:hyperlink>
      <w:r>
        <w:rPr>
          <w:rFonts w:ascii="Arial" w:hAnsi="Arial" w:cs="Arial"/>
          <w:sz w:val="20"/>
          <w:szCs w:val="20"/>
        </w:rP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385"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21.07.2017 N 863)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ставку за мощность, приобретаемую потребителем (покупателем), величина которой определяется равной составляющей, указанной в </w:t>
      </w:r>
      <w:hyperlink w:anchor="Par805" w:history="1">
        <w:r>
          <w:rPr>
            <w:rFonts w:ascii="Arial" w:hAnsi="Arial" w:cs="Arial"/>
            <w:color w:val="0000FF"/>
            <w:sz w:val="20"/>
            <w:szCs w:val="20"/>
          </w:rPr>
          <w:t>абзаце третьем</w:t>
        </w:r>
      </w:hyperlink>
      <w:r>
        <w:rPr>
          <w:rFonts w:ascii="Arial" w:hAnsi="Arial" w:cs="Arial"/>
          <w:sz w:val="20"/>
          <w:szCs w:val="20"/>
        </w:rPr>
        <w:t xml:space="preserve"> настоящего пункта, в рамках которой ставка за мощность нерегулируемой цены применяется в порядке, предусмотренном </w:t>
      </w:r>
      <w:hyperlink w:anchor="Par853" w:history="1">
        <w:r>
          <w:rPr>
            <w:rFonts w:ascii="Arial" w:hAnsi="Arial" w:cs="Arial"/>
            <w:color w:val="0000FF"/>
            <w:sz w:val="20"/>
            <w:szCs w:val="20"/>
          </w:rPr>
          <w:t>пунктом 95</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386"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21.07.2017 N 863)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94. Предельный уровень нерегулируемых цен для шестой ценовой категории гарантирующий поставщик рассчитывает в соответствии со следующей структурой нерегулируемой цены:</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08" w:name="Par828"/>
      <w:bookmarkEnd w:id="108"/>
      <w:r>
        <w:rPr>
          <w:rFonts w:ascii="Arial" w:hAnsi="Arial" w:cs="Arial"/>
          <w:sz w:val="20"/>
          <w:szCs w:val="20"/>
        </w:rP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09" w:name="Par829"/>
      <w:bookmarkEnd w:id="109"/>
      <w:r>
        <w:rPr>
          <w:rFonts w:ascii="Arial" w:hAnsi="Arial" w:cs="Arial"/>
          <w:sz w:val="20"/>
          <w:szCs w:val="20"/>
        </w:rPr>
        <w:t>средневзвешенная нерегулируемая цена на мощность на оптовом рынке;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10" w:name="Par830"/>
      <w:bookmarkEnd w:id="110"/>
      <w:r>
        <w:rPr>
          <w:rFonts w:ascii="Arial" w:hAnsi="Arial" w:cs="Arial"/>
          <w:sz w:val="20"/>
          <w:szCs w:val="20"/>
        </w:rP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11" w:name="Par831"/>
      <w:bookmarkEnd w:id="111"/>
      <w:r>
        <w:rPr>
          <w:rFonts w:ascii="Arial" w:hAnsi="Arial" w:cs="Arial"/>
          <w:sz w:val="20"/>
          <w:szCs w:val="20"/>
        </w:rP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12" w:name="Par832"/>
      <w:bookmarkEnd w:id="112"/>
      <w:r>
        <w:rPr>
          <w:rFonts w:ascii="Arial" w:hAnsi="Arial" w:cs="Arial"/>
          <w:sz w:val="20"/>
          <w:szCs w:val="20"/>
        </w:rPr>
        <w:lastRenderedPageBreak/>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13" w:name="Par833"/>
      <w:bookmarkEnd w:id="113"/>
      <w:r>
        <w:rPr>
          <w:rFonts w:ascii="Arial" w:hAnsi="Arial" w:cs="Arial"/>
          <w:sz w:val="20"/>
          <w:szCs w:val="20"/>
        </w:rP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14" w:name="Par834"/>
      <w:bookmarkEnd w:id="114"/>
      <w:r>
        <w:rPr>
          <w:rFonts w:ascii="Arial" w:hAnsi="Arial" w:cs="Arial"/>
          <w:sz w:val="20"/>
          <w:szCs w:val="20"/>
        </w:rPr>
        <w:t>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15" w:name="Par835"/>
      <w:bookmarkEnd w:id="115"/>
      <w:r>
        <w:rPr>
          <w:rFonts w:ascii="Arial" w:hAnsi="Arial" w:cs="Arial"/>
          <w:sz w:val="20"/>
          <w:szCs w:val="20"/>
        </w:rPr>
        <w:t>ставка, отражающая удельную величину расходов на содержание электрических сетей, тарифа на услуги по передаче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16" w:name="Par836"/>
      <w:bookmarkEnd w:id="116"/>
      <w:r>
        <w:rPr>
          <w:rFonts w:ascii="Arial" w:hAnsi="Arial" w:cs="Arial"/>
          <w:sz w:val="20"/>
          <w:szCs w:val="20"/>
        </w:rPr>
        <w:t>сбытовая надбавка гарантирующего поставщика;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17" w:name="Par837"/>
      <w:bookmarkEnd w:id="117"/>
      <w:r>
        <w:rPr>
          <w:rFonts w:ascii="Arial" w:hAnsi="Arial" w:cs="Arial"/>
          <w:sz w:val="20"/>
          <w:szCs w:val="20"/>
        </w:rPr>
        <w:t xml:space="preserve">плата за иные услуги, оказание которых является неотъемлемой частью процесса поставки электрической энергии потребителям, определяемая в соответствии с </w:t>
      </w:r>
      <w:hyperlink w:anchor="Par945" w:history="1">
        <w:r>
          <w:rPr>
            <w:rFonts w:ascii="Arial" w:hAnsi="Arial" w:cs="Arial"/>
            <w:color w:val="0000FF"/>
            <w:sz w:val="20"/>
            <w:szCs w:val="20"/>
          </w:rPr>
          <w:t>пунктом 101</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Указанные в </w:t>
      </w:r>
      <w:hyperlink w:anchor="Par828" w:history="1">
        <w:r>
          <w:rPr>
            <w:rFonts w:ascii="Arial" w:hAnsi="Arial" w:cs="Arial"/>
            <w:color w:val="0000FF"/>
            <w:sz w:val="20"/>
            <w:szCs w:val="20"/>
          </w:rPr>
          <w:t>абзацах втором</w:t>
        </w:r>
      </w:hyperlink>
      <w:r>
        <w:rPr>
          <w:rFonts w:ascii="Arial" w:hAnsi="Arial" w:cs="Arial"/>
          <w:sz w:val="20"/>
          <w:szCs w:val="20"/>
        </w:rPr>
        <w:t xml:space="preserve">, </w:t>
      </w:r>
      <w:hyperlink w:anchor="Par830" w:history="1">
        <w:r>
          <w:rPr>
            <w:rFonts w:ascii="Arial" w:hAnsi="Arial" w:cs="Arial"/>
            <w:color w:val="0000FF"/>
            <w:sz w:val="20"/>
            <w:szCs w:val="20"/>
          </w:rPr>
          <w:t>четвертом</w:t>
        </w:r>
      </w:hyperlink>
      <w:r>
        <w:rPr>
          <w:rFonts w:ascii="Arial" w:hAnsi="Arial" w:cs="Arial"/>
          <w:sz w:val="20"/>
          <w:szCs w:val="20"/>
        </w:rPr>
        <w:t xml:space="preserve"> - </w:t>
      </w:r>
      <w:hyperlink w:anchor="Par837" w:history="1">
        <w:r>
          <w:rPr>
            <w:rFonts w:ascii="Arial" w:hAnsi="Arial" w:cs="Arial"/>
            <w:color w:val="0000FF"/>
            <w:sz w:val="20"/>
            <w:szCs w:val="20"/>
          </w:rPr>
          <w:t>одиннадцатом</w:t>
        </w:r>
      </w:hyperlink>
      <w:r>
        <w:rPr>
          <w:rFonts w:ascii="Arial" w:hAnsi="Arial" w:cs="Arial"/>
          <w:sz w:val="20"/>
          <w:szCs w:val="20"/>
        </w:rPr>
        <w:t xml:space="preserve"> настоящего пункта составляющие предельного уровня нерегулируемых цен определяются в рублях за мегаватт-час. Указанные в </w:t>
      </w:r>
      <w:hyperlink w:anchor="Par829" w:history="1">
        <w:r>
          <w:rPr>
            <w:rFonts w:ascii="Arial" w:hAnsi="Arial" w:cs="Arial"/>
            <w:color w:val="0000FF"/>
            <w:sz w:val="20"/>
            <w:szCs w:val="20"/>
          </w:rPr>
          <w:t>абзацах третьем</w:t>
        </w:r>
      </w:hyperlink>
      <w:r>
        <w:rPr>
          <w:rFonts w:ascii="Arial" w:hAnsi="Arial" w:cs="Arial"/>
          <w:sz w:val="20"/>
          <w:szCs w:val="20"/>
        </w:rPr>
        <w:t xml:space="preserve"> и </w:t>
      </w:r>
      <w:hyperlink w:anchor="Par835" w:history="1">
        <w:r>
          <w:rPr>
            <w:rFonts w:ascii="Arial" w:hAnsi="Arial" w:cs="Arial"/>
            <w:color w:val="0000FF"/>
            <w:sz w:val="20"/>
            <w:szCs w:val="20"/>
          </w:rPr>
          <w:t>девятом</w:t>
        </w:r>
      </w:hyperlink>
      <w:r>
        <w:rPr>
          <w:rFonts w:ascii="Arial" w:hAnsi="Arial" w:cs="Arial"/>
          <w:sz w:val="20"/>
          <w:szCs w:val="20"/>
        </w:rPr>
        <w:t xml:space="preserve"> настоящего пункта составляющие предельного уровня нерегулируемых цен определяются в рублях за мегаватт.</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387"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21.07.2017 N 863)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Предельный уровень нерегулируемых цен для шестой ценовой категории включает: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ставку за электрическую энергию, величина которой определяется равной сумме составляющих, указанных в </w:t>
      </w:r>
      <w:hyperlink w:anchor="Par828" w:history="1">
        <w:r>
          <w:rPr>
            <w:rFonts w:ascii="Arial" w:hAnsi="Arial" w:cs="Arial"/>
            <w:color w:val="0000FF"/>
            <w:sz w:val="20"/>
            <w:szCs w:val="20"/>
          </w:rPr>
          <w:t>абзаце втором</w:t>
        </w:r>
      </w:hyperlink>
      <w:r>
        <w:rPr>
          <w:rFonts w:ascii="Arial" w:hAnsi="Arial" w:cs="Arial"/>
          <w:sz w:val="20"/>
          <w:szCs w:val="20"/>
        </w:rPr>
        <w:t xml:space="preserve">, </w:t>
      </w:r>
      <w:hyperlink w:anchor="Par834" w:history="1">
        <w:r>
          <w:rPr>
            <w:rFonts w:ascii="Arial" w:hAnsi="Arial" w:cs="Arial"/>
            <w:color w:val="0000FF"/>
            <w:sz w:val="20"/>
            <w:szCs w:val="20"/>
          </w:rPr>
          <w:t>восьмом</w:t>
        </w:r>
      </w:hyperlink>
      <w:r>
        <w:rPr>
          <w:rFonts w:ascii="Arial" w:hAnsi="Arial" w:cs="Arial"/>
          <w:sz w:val="20"/>
          <w:szCs w:val="20"/>
        </w:rPr>
        <w:t xml:space="preserve">, </w:t>
      </w:r>
      <w:hyperlink w:anchor="Par836" w:history="1">
        <w:r>
          <w:rPr>
            <w:rFonts w:ascii="Arial" w:hAnsi="Arial" w:cs="Arial"/>
            <w:color w:val="0000FF"/>
            <w:sz w:val="20"/>
            <w:szCs w:val="20"/>
          </w:rPr>
          <w:t>десятом</w:t>
        </w:r>
      </w:hyperlink>
      <w:r>
        <w:rPr>
          <w:rFonts w:ascii="Arial" w:hAnsi="Arial" w:cs="Arial"/>
          <w:sz w:val="20"/>
          <w:szCs w:val="20"/>
        </w:rPr>
        <w:t xml:space="preserve"> и </w:t>
      </w:r>
      <w:hyperlink w:anchor="Par837" w:history="1">
        <w:r>
          <w:rPr>
            <w:rFonts w:ascii="Arial" w:hAnsi="Arial" w:cs="Arial"/>
            <w:color w:val="0000FF"/>
            <w:sz w:val="20"/>
            <w:szCs w:val="20"/>
          </w:rPr>
          <w:t>одиннадцатом</w:t>
        </w:r>
      </w:hyperlink>
      <w:r>
        <w:rPr>
          <w:rFonts w:ascii="Arial" w:hAnsi="Arial" w:cs="Arial"/>
          <w:sz w:val="20"/>
          <w:szCs w:val="20"/>
        </w:rPr>
        <w:t xml:space="preserve"> настоящего пункта, в рамках которой ставка за электрическую энергию нерегулируемой цены применяется в порядке, предусмотренном </w:t>
      </w:r>
      <w:hyperlink w:anchor="Par853" w:history="1">
        <w:r>
          <w:rPr>
            <w:rFonts w:ascii="Arial" w:hAnsi="Arial" w:cs="Arial"/>
            <w:color w:val="0000FF"/>
            <w:sz w:val="20"/>
            <w:szCs w:val="20"/>
          </w:rPr>
          <w:t>пунктом 95</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оставляющей, указанной в </w:t>
      </w:r>
      <w:hyperlink w:anchor="Par830" w:history="1">
        <w:r>
          <w:rPr>
            <w:rFonts w:ascii="Arial" w:hAnsi="Arial" w:cs="Arial"/>
            <w:color w:val="0000FF"/>
            <w:sz w:val="20"/>
            <w:szCs w:val="20"/>
          </w:rPr>
          <w:t>абзаце четвертом</w:t>
        </w:r>
      </w:hyperlink>
      <w:r>
        <w:rPr>
          <w:rFonts w:ascii="Arial" w:hAnsi="Arial" w:cs="Arial"/>
          <w:sz w:val="20"/>
          <w:szCs w:val="20"/>
        </w:rPr>
        <w:t xml:space="preserve"> настоящего пункта;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388"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21.07.2017 N 863)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anchor="Par831" w:history="1">
        <w:r>
          <w:rPr>
            <w:rFonts w:ascii="Arial" w:hAnsi="Arial" w:cs="Arial"/>
            <w:color w:val="0000FF"/>
            <w:sz w:val="20"/>
            <w:szCs w:val="20"/>
          </w:rPr>
          <w:t>абзаце пятом</w:t>
        </w:r>
      </w:hyperlink>
      <w:r>
        <w:rPr>
          <w:rFonts w:ascii="Arial" w:hAnsi="Arial" w:cs="Arial"/>
          <w:sz w:val="20"/>
          <w:szCs w:val="20"/>
        </w:rPr>
        <w:t xml:space="preserve"> настоящего пункта;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389"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21.07.2017 N 863)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ar832" w:history="1">
        <w:r>
          <w:rPr>
            <w:rFonts w:ascii="Arial" w:hAnsi="Arial" w:cs="Arial"/>
            <w:color w:val="0000FF"/>
            <w:sz w:val="20"/>
            <w:szCs w:val="20"/>
          </w:rPr>
          <w:t>абзаце шестом</w:t>
        </w:r>
      </w:hyperlink>
      <w:r>
        <w:rPr>
          <w:rFonts w:ascii="Arial" w:hAnsi="Arial" w:cs="Arial"/>
          <w:sz w:val="20"/>
          <w:szCs w:val="20"/>
        </w:rPr>
        <w:t xml:space="preserve"> настоящего пункта. В случае если составляющая, указанная в </w:t>
      </w:r>
      <w:hyperlink w:anchor="Par832" w:history="1">
        <w:r>
          <w:rPr>
            <w:rFonts w:ascii="Arial" w:hAnsi="Arial" w:cs="Arial"/>
            <w:color w:val="0000FF"/>
            <w:sz w:val="20"/>
            <w:szCs w:val="20"/>
          </w:rPr>
          <w:t>абзаце шестом</w:t>
        </w:r>
      </w:hyperlink>
      <w:r>
        <w:rPr>
          <w:rFonts w:ascii="Arial" w:hAnsi="Arial" w:cs="Arial"/>
          <w:sz w:val="20"/>
          <w:szCs w:val="20"/>
        </w:rP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ar832" w:history="1">
        <w:r>
          <w:rPr>
            <w:rFonts w:ascii="Arial" w:hAnsi="Arial" w:cs="Arial"/>
            <w:color w:val="0000FF"/>
            <w:sz w:val="20"/>
            <w:szCs w:val="20"/>
          </w:rPr>
          <w:t>абзаце шестом</w:t>
        </w:r>
      </w:hyperlink>
      <w:r>
        <w:rPr>
          <w:rFonts w:ascii="Arial" w:hAnsi="Arial" w:cs="Arial"/>
          <w:sz w:val="20"/>
          <w:szCs w:val="20"/>
        </w:rP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390"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21.07.2017 N 863)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ar833" w:history="1">
        <w:r>
          <w:rPr>
            <w:rFonts w:ascii="Arial" w:hAnsi="Arial" w:cs="Arial"/>
            <w:color w:val="0000FF"/>
            <w:sz w:val="20"/>
            <w:szCs w:val="20"/>
          </w:rPr>
          <w:t>абзаце седьмом</w:t>
        </w:r>
      </w:hyperlink>
      <w:r>
        <w:rPr>
          <w:rFonts w:ascii="Arial" w:hAnsi="Arial" w:cs="Arial"/>
          <w:sz w:val="20"/>
          <w:szCs w:val="20"/>
        </w:rPr>
        <w:t xml:space="preserve"> настоящего пункта. В случае если составляющая, указанная в </w:t>
      </w:r>
      <w:hyperlink w:anchor="Par833" w:history="1">
        <w:r>
          <w:rPr>
            <w:rFonts w:ascii="Arial" w:hAnsi="Arial" w:cs="Arial"/>
            <w:color w:val="0000FF"/>
            <w:sz w:val="20"/>
            <w:szCs w:val="20"/>
          </w:rPr>
          <w:t>абзаце седьмом</w:t>
        </w:r>
      </w:hyperlink>
      <w:r>
        <w:rPr>
          <w:rFonts w:ascii="Arial" w:hAnsi="Arial" w:cs="Arial"/>
          <w:sz w:val="20"/>
          <w:szCs w:val="20"/>
        </w:rP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ar833" w:history="1">
        <w:r>
          <w:rPr>
            <w:rFonts w:ascii="Arial" w:hAnsi="Arial" w:cs="Arial"/>
            <w:color w:val="0000FF"/>
            <w:sz w:val="20"/>
            <w:szCs w:val="20"/>
          </w:rPr>
          <w:t>абзаце седьмом</w:t>
        </w:r>
      </w:hyperlink>
      <w:r>
        <w:rPr>
          <w:rFonts w:ascii="Arial" w:hAnsi="Arial" w:cs="Arial"/>
          <w:sz w:val="20"/>
          <w:szCs w:val="20"/>
        </w:rP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391"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21.07.2017 N 863)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ставку за мощность, приобретаемую потребителем (покупателем), величина которой определяется равной составляющей, указанной в </w:t>
      </w:r>
      <w:hyperlink w:anchor="Par829" w:history="1">
        <w:r>
          <w:rPr>
            <w:rFonts w:ascii="Arial" w:hAnsi="Arial" w:cs="Arial"/>
            <w:color w:val="0000FF"/>
            <w:sz w:val="20"/>
            <w:szCs w:val="20"/>
          </w:rPr>
          <w:t>абзаце третьем</w:t>
        </w:r>
      </w:hyperlink>
      <w:r>
        <w:rPr>
          <w:rFonts w:ascii="Arial" w:hAnsi="Arial" w:cs="Arial"/>
          <w:sz w:val="20"/>
          <w:szCs w:val="20"/>
        </w:rPr>
        <w:t xml:space="preserve"> настоящего пункта, в рамках которой ставка за мощность нерегулируемой цены применяется в порядке, предусмотренном </w:t>
      </w:r>
      <w:hyperlink w:anchor="Par853" w:history="1">
        <w:r>
          <w:rPr>
            <w:rFonts w:ascii="Arial" w:hAnsi="Arial" w:cs="Arial"/>
            <w:color w:val="0000FF"/>
            <w:sz w:val="20"/>
            <w:szCs w:val="20"/>
          </w:rPr>
          <w:t>пунктом 95</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392"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21.07.2017 N 863)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ставку тарифа на услуги по передаче электрической энергии за содержание электрических сетей, величина которой определяется равной составляющей, указанной в </w:t>
      </w:r>
      <w:hyperlink w:anchor="Par835" w:history="1">
        <w:r>
          <w:rPr>
            <w:rFonts w:ascii="Arial" w:hAnsi="Arial" w:cs="Arial"/>
            <w:color w:val="0000FF"/>
            <w:sz w:val="20"/>
            <w:szCs w:val="20"/>
          </w:rPr>
          <w:t>абзаце девятом</w:t>
        </w:r>
      </w:hyperlink>
      <w:r>
        <w:rPr>
          <w:rFonts w:ascii="Arial" w:hAnsi="Arial" w:cs="Arial"/>
          <w:sz w:val="20"/>
          <w:szCs w:val="20"/>
        </w:rPr>
        <w:t xml:space="preserve"> настоящего пункта.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18" w:name="Par853"/>
      <w:bookmarkEnd w:id="118"/>
      <w:r>
        <w:rPr>
          <w:rFonts w:ascii="Arial" w:hAnsi="Arial" w:cs="Arial"/>
          <w:sz w:val="20"/>
          <w:szCs w:val="20"/>
        </w:rPr>
        <w:t>95. Предельные уровни нерегулируемых цен для третьей - шестой ценовых категорий применяются в следующем порядке: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ставка за электрическую энергию нерегулируемой цены в рамках ставки за электрическую энергию предельного уровня нерегулируемых цен для соответствующей ценовой категории применяется к почасовому объему покупки электрической энергии потребителем (покупателем), из которого исключен объем покупки в целях обеспечения потребления электрической энергии населением и приравненными к нему категориями потребителей в соответствии с настоящим пунктом;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ставка за мощность нерегулируемой цены в рамках ставки за мощность предельного уровня применяется к величине мощности, оплачиваемой потребителем (покупателем) на розничном рынке за расчетный период;</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ставка тарифа на услуги по передаче электрической энергии за содержание электрических сетей для четвертой и шестой ценовых категорий применяется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393" w:history="1">
        <w:r>
          <w:rPr>
            <w:rFonts w:ascii="Arial" w:hAnsi="Arial" w:cs="Arial"/>
            <w:color w:val="0000FF"/>
            <w:sz w:val="20"/>
            <w:szCs w:val="20"/>
          </w:rPr>
          <w:t>пунктом 15(1)</w:t>
        </w:r>
      </w:hyperlink>
      <w:r>
        <w:rPr>
          <w:rFonts w:ascii="Arial" w:hAnsi="Arial" w:cs="Arial"/>
          <w:sz w:val="20"/>
          <w:szCs w:val="20"/>
        </w:rPr>
        <w:t xml:space="preserve"> и </w:t>
      </w:r>
      <w:hyperlink r:id="rId394" w:history="1">
        <w:r>
          <w:rPr>
            <w:rFonts w:ascii="Arial" w:hAnsi="Arial" w:cs="Arial"/>
            <w:color w:val="0000FF"/>
            <w:sz w:val="20"/>
            <w:szCs w:val="20"/>
          </w:rPr>
          <w:t>разделом X</w:t>
        </w:r>
      </w:hyperlink>
      <w:r>
        <w:rPr>
          <w:rFonts w:ascii="Arial" w:hAnsi="Arial" w:cs="Arial"/>
          <w:sz w:val="20"/>
          <w:szCs w:val="20"/>
        </w:rPr>
        <w:t xml:space="preserve"> Правил недискриминационного доступа к услугам по передаче электрической энергии и оказания этих услуг.</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395"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30.04.2020 N 628)</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Исключение объемов покупки электрической энергии в целях обеспечения потребления электрической энергии населением и приравненными к нему категориями потребителей производится следующим образом: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наличии учета по часам расчетного периода в отношении указанных объемов - согласно данным учета;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отсутствии учета по часам расчетного периода в отношении указанных объемов в каждый час расчетного периода доля покупки электрической энергии в целях обеспечения потребления электрической энергии населением и приравненными к нему категориями потребителей принимается равной доле совокупного объема покупки электрической энергии в этих целях за расчетный период в фактическом совокупном объеме покупки электрической энергии потребителем (покупателем) за расчетный период.</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Величина мощности, оплачиваемой на розничном рынке потребителем (покупателем) за расчетный период, определяется как среднее арифметическое значение почасовых объемов потребления электрической энергии потребителем (покупателем) в часы, определенные коммерческим оператором в соответствии с </w:t>
      </w:r>
      <w:hyperlink r:id="rId396" w:history="1">
        <w:r>
          <w:rPr>
            <w:rFonts w:ascii="Arial" w:hAnsi="Arial" w:cs="Arial"/>
            <w:color w:val="0000FF"/>
            <w:sz w:val="20"/>
            <w:szCs w:val="20"/>
          </w:rPr>
          <w:t>Правилами</w:t>
        </w:r>
      </w:hyperlink>
      <w:r>
        <w:rPr>
          <w:rFonts w:ascii="Arial" w:hAnsi="Arial" w:cs="Arial"/>
          <w:sz w:val="20"/>
          <w:szCs w:val="20"/>
        </w:rPr>
        <w:t xml:space="preserve"> оптового рынка из установленных системным оператором плановых часов пиковой нагрузки в рабочие дни расчетного периода для определения объема фактического пикового </w:t>
      </w:r>
      <w:r>
        <w:rPr>
          <w:rFonts w:ascii="Arial" w:hAnsi="Arial" w:cs="Arial"/>
          <w:sz w:val="20"/>
          <w:szCs w:val="20"/>
        </w:rPr>
        <w:lastRenderedPageBreak/>
        <w:t xml:space="preserve">потребления гарантирующего поставщика, обслуживающего этого потребителя (покупателя), и опубликованные коммерческим оператором в соответствии с </w:t>
      </w:r>
      <w:hyperlink r:id="rId397" w:history="1">
        <w:r>
          <w:rPr>
            <w:rFonts w:ascii="Arial" w:hAnsi="Arial" w:cs="Arial"/>
            <w:color w:val="0000FF"/>
            <w:sz w:val="20"/>
            <w:szCs w:val="20"/>
          </w:rPr>
          <w:t>Правилами</w:t>
        </w:r>
      </w:hyperlink>
      <w:r>
        <w:rPr>
          <w:rFonts w:ascii="Arial" w:hAnsi="Arial" w:cs="Arial"/>
          <w:sz w:val="20"/>
          <w:szCs w:val="20"/>
        </w:rPr>
        <w:t xml:space="preserve"> оптового рынка.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Почасовые объемы потребления электрической энергии для расчета обязательств потребителей (покупателей), осуществляющих расчеты по третьей - шестой ценовым категориям,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в отношении которых в соответствии с </w:t>
      </w:r>
      <w:hyperlink w:anchor="Par876" w:history="1">
        <w:r>
          <w:rPr>
            <w:rFonts w:ascii="Arial" w:hAnsi="Arial" w:cs="Arial"/>
            <w:color w:val="0000FF"/>
            <w:sz w:val="20"/>
            <w:szCs w:val="20"/>
          </w:rPr>
          <w:t>пунктом 97</w:t>
        </w:r>
      </w:hyperlink>
      <w:r>
        <w:rPr>
          <w:rFonts w:ascii="Arial" w:hAnsi="Arial" w:cs="Arial"/>
          <w:sz w:val="20"/>
          <w:szCs w:val="20"/>
        </w:rPr>
        <w:t xml:space="preserve"> настоящего документа не осуществляется расчет по первой и второй ценовым категориям,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иных случаях, указанных в </w:t>
      </w:r>
      <w:hyperlink w:anchor="Par1220" w:history="1">
        <w:r>
          <w:rPr>
            <w:rFonts w:ascii="Arial" w:hAnsi="Arial" w:cs="Arial"/>
            <w:color w:val="0000FF"/>
            <w:sz w:val="20"/>
            <w:szCs w:val="20"/>
          </w:rPr>
          <w:t>разделе X</w:t>
        </w:r>
      </w:hyperlink>
      <w:r>
        <w:rPr>
          <w:rFonts w:ascii="Arial" w:hAnsi="Arial" w:cs="Arial"/>
          <w:sz w:val="20"/>
          <w:szCs w:val="20"/>
        </w:rPr>
        <w:t xml:space="preserve"> настоящего документа, определение объемов потребления электрической энергии осуществляется в порядке, предусмотренном </w:t>
      </w:r>
      <w:hyperlink w:anchor="Par1220" w:history="1">
        <w:r>
          <w:rPr>
            <w:rFonts w:ascii="Arial" w:hAnsi="Arial" w:cs="Arial"/>
            <w:color w:val="0000FF"/>
            <w:sz w:val="20"/>
            <w:szCs w:val="20"/>
          </w:rPr>
          <w:t>разделом X</w:t>
        </w:r>
      </w:hyperlink>
      <w:r>
        <w:rPr>
          <w:rFonts w:ascii="Arial" w:hAnsi="Arial" w:cs="Arial"/>
          <w:sz w:val="20"/>
          <w:szCs w:val="20"/>
        </w:rPr>
        <w:t xml:space="preserve"> настоящего документа, с применением расчетных способов.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Часы для расчета величины мощности, оплачиваемой потребителем (покупателем) на розничном рынке, опубликованные коммерческим оператором оптового рынка в соответствии с </w:t>
      </w:r>
      <w:hyperlink r:id="rId398" w:history="1">
        <w:r>
          <w:rPr>
            <w:rFonts w:ascii="Arial" w:hAnsi="Arial" w:cs="Arial"/>
            <w:color w:val="0000FF"/>
            <w:sz w:val="20"/>
            <w:szCs w:val="20"/>
          </w:rPr>
          <w:t>Правилами</w:t>
        </w:r>
      </w:hyperlink>
      <w:r>
        <w:rPr>
          <w:rFonts w:ascii="Arial" w:hAnsi="Arial" w:cs="Arial"/>
          <w:sz w:val="20"/>
          <w:szCs w:val="20"/>
        </w:rPr>
        <w:t xml:space="preserve"> оптового рынка, публикуются гарантирующим поставщиком не позднее чем через 11 дней после окончания расчетного периода на его официальном сайте в сети "Интернет" или в официальном печатном издании.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19" w:name="Par864"/>
      <w:bookmarkEnd w:id="119"/>
      <w:r>
        <w:rPr>
          <w:rFonts w:ascii="Arial" w:hAnsi="Arial" w:cs="Arial"/>
          <w:sz w:val="20"/>
          <w:szCs w:val="20"/>
        </w:rPr>
        <w:t>96. Устанавливаются следующие особенности определения и применения гарантирующим поставщиком предельных уровней нерегулируемых цен:</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заключения гарантирующим поставщиком свободного договора купли-продажи электрической энергии с производителем - участником оптового рынка в интересах всех обслуживаемых гарантирующим поставщиком потребителей (покупателей) в его зоне деятельности гарантирующий поставщик обращается к коммерческому оператору оптового рынка в порядке, установленном договором о присоединении к торговой системе оптового рынка в целях учета свободных договоров при определении составляющих предельных уровней нерегулируемых цен для соответствующего гарантирующего поставщика. Учет каждого из свободных договоров производится коммерческим оператором в соответствии с </w:t>
      </w:r>
      <w:hyperlink r:id="rId399" w:history="1">
        <w:r>
          <w:rPr>
            <w:rFonts w:ascii="Arial" w:hAnsi="Arial" w:cs="Arial"/>
            <w:color w:val="0000FF"/>
            <w:sz w:val="20"/>
            <w:szCs w:val="20"/>
          </w:rPr>
          <w:t>Правилами</w:t>
        </w:r>
      </w:hyperlink>
      <w:r>
        <w:rPr>
          <w:rFonts w:ascii="Arial" w:hAnsi="Arial" w:cs="Arial"/>
          <w:sz w:val="20"/>
          <w:szCs w:val="20"/>
        </w:rPr>
        <w:t xml:space="preserve"> определения и применения гарантирующими поставщиками нерегулируемых цен на электрическую энергию (мощность) только в случае, если соответствующие составляющие предельных уровней нерегулируемых цен будут снижены по сравнению с составляющими предельных уровней нерегулируемых цен, рассчитанными коммерческим оператором оптового рынка без учета свободного договора;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Указанные предельные уровни нерегулируемых цен используются гарантирующим поставщиком в отношении объемов покупки электрической энергии (мощности), обеспеченных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заключения договора энергоснабжения между гарантирующим поставщиком и потребителем (потребителями, входящими в одну группу лиц и (или) владеющими на праве собственности или ином законном основании энергопринимающими устройствами, которые используются ими в рамках единого технологического процесса), которому преимущественно оказывает услуги по передаче электрической энергии сетевая организация, соответствующая установленным Правительством Российской Федерации критериям отнесения сетевых организаций к сетевым организациям, обслуживающим преимущественно одного потребителя, предельные уровни нерегулируемых цен для указанного потребителя (потребителей, входящих в одну группу лиц и (или) владеющих на праве собственности или ином законном основании энергопринимающими устройствами, которые используются ими в рамках единого технологического </w:t>
      </w:r>
      <w:r>
        <w:rPr>
          <w:rFonts w:ascii="Arial" w:hAnsi="Arial" w:cs="Arial"/>
          <w:sz w:val="20"/>
          <w:szCs w:val="20"/>
        </w:rPr>
        <w:lastRenderedPageBreak/>
        <w:t>процесса) определяются исходя из соответствующих предельных уровней нерегулируемых цен, увеличенных на плату за услуги по передаче электрической энергии для указанной сетевой организации;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400"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07.07.2015 N 680)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заключения между потребителем (покупателем) и гарантирующим поставщиком договора купли-продажи (поставки) электрической энергии (мощности) предельные уровни нерегулируемых цен определяются без учета тарифа на услуги по передаче электрической энергии и используются гарантирующим поставщиком в отношении объемов покупки электрической энергии (мощности) потребителем (покупателем) по указанному договору;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заключения между гарантирующим поставщиком и потребителем (покупателем) договора энергоснабжения, предусматривающего урегулирование услуг по передаче электрической энергии, при этом в случае если гарантирующим поставщиком в интересах указанного потребителя (покупателя) заключен договор оказания услуг по передаче электрической энергии только с организацией по управлению единой национальной (общероссийской) электрической сетью, предельные уровни нерегулируемых цен для указанного потребителя (покупателя) определяются исходя из соответствующих предельных уровней нерегулируемых цен для договоров купли-продажи (поставки) электрической энергии (мощности), увеличенных на плату за услуги по передаче электрической энергии по единой национальной (общероссийской) электрической сети;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если гарантирующим поставщиком в интересах потребителя (покупателя) заключены договоры оказания услуг по передаче электрической энергии с организацией по управлению единой национальной (общероссийской) электрической сетью и территориальной сетевой организацией (территориальными сетевыми организациями), предельные уровни нерегулируемых цен для указанного потребителя (покупателя) определяются раздельно для точек поставки, в отношении которых заключен такой договор с организацией по управлению единой национальной (общероссийской) электрической сетью, и точек поставки, в отношении которых договор заключен с территориальной сетевой организацией, исходя из соответствующих предельных уровней нерегулируемых цен для договоров купли-продажи (поставки) электрической энергии (мощности), увеличенных на соответствующую плату за услуги по передаче электрической энергии;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401"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30.12.2012 N 1482)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заключения договора купли-продажи (поставки) электрической энергии (мощности) между сетевой организацией и гарантирующим поставщиком в целях компенсации потерь в сетях сетевой организации предельные уровни нерегулируемых цен определяются без учета тарифа на услуги по передаче электрической энергии и используются гарантирующим поставщиком в отношении объемов покупки электрической энергии (мощности) в целях компенсации потерь в сетях сетевой организации. При этом для определения предельных уровней в отношении величин непревышения фактических объемов потерь электрической энергии над объемами потерь, учтенными в сводном прогнозном балансе за соответствующий расчетный период в отношении сетевой организации, используется сбытовая надбавка гарантирующего поставщика, установленная в отношении сетевых организаций, а в отношении величин превышения - сбытовая надбавка гарантирующего поставщика, установленная в отношении потребителей, относящихся к подгруппе группы "прочие потребители" с максимальной мощностью энергопринимающих устройств от 670 кВт до 10 МВт;</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402"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30.12.2012 N 1482)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до 1 января 2015 г. гарантирующие поставщики определяют и применяют без учета своей сбытовой надбавки предельные уровни нерегулируемых цен для соответствующих ценовых категорий в отношении покупателей - энергосбытовых организаций, которые определены актом Правительства Российской Федерации в целях снабжения электрической энергией находящихся в ведении Министерства обороны Российской Федерации организаций и осуществляют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на ином законном основании организациям, находящимся в ведении Министерства обороны Российской Федерации и (или) образованным во исполнение </w:t>
      </w:r>
      <w:hyperlink r:id="rId403" w:history="1">
        <w:r>
          <w:rPr>
            <w:rFonts w:ascii="Arial" w:hAnsi="Arial" w:cs="Arial"/>
            <w:color w:val="0000FF"/>
            <w:sz w:val="20"/>
            <w:szCs w:val="20"/>
          </w:rPr>
          <w:t>Указа</w:t>
        </w:r>
      </w:hyperlink>
      <w:r>
        <w:rPr>
          <w:rFonts w:ascii="Arial" w:hAnsi="Arial" w:cs="Arial"/>
          <w:sz w:val="20"/>
          <w:szCs w:val="20"/>
        </w:rPr>
        <w:t xml:space="preserve"> Президента Российской Федерации от 15 сентября 2008 г. N 1359 "Об открытом акционерном обществе "Оборонсервис", в отношении точек поставки, расположенных на территории, в отношении которой указанные энергосбытовые организации функционируют в качестве гарантирующих поставщиков и осуществляют покупку электрической энергии (мощности) по соответствующим точкам поставки у гарантирующих поставщиков - участников оптового рынка. При этом такие предельные уровни применяются к объемам электрической энергии (мощности), поставляемой находящимся в ведении Министерства обороны Российской Федерации организациям и иным </w:t>
      </w:r>
      <w:r>
        <w:rPr>
          <w:rFonts w:ascii="Arial" w:hAnsi="Arial" w:cs="Arial"/>
          <w:sz w:val="20"/>
          <w:szCs w:val="20"/>
        </w:rPr>
        <w:lastRenderedPageBreak/>
        <w:t xml:space="preserve">потребителям (юридическим и физическим лицам), энергопринимающие устройства которых технологически присоединены к электрическим сетям, принадлежащим на праве собственности или на ином законном основании организациям, находящимся в ведении Министерства обороны Российской Федерации и (или) образованным во исполнение </w:t>
      </w:r>
      <w:hyperlink r:id="rId404" w:history="1">
        <w:r>
          <w:rPr>
            <w:rFonts w:ascii="Arial" w:hAnsi="Arial" w:cs="Arial"/>
            <w:color w:val="0000FF"/>
            <w:sz w:val="20"/>
            <w:szCs w:val="20"/>
          </w:rPr>
          <w:t>Указа</w:t>
        </w:r>
      </w:hyperlink>
      <w:r>
        <w:rPr>
          <w:rFonts w:ascii="Arial" w:hAnsi="Arial" w:cs="Arial"/>
          <w:sz w:val="20"/>
          <w:szCs w:val="20"/>
        </w:rPr>
        <w:t xml:space="preserve"> Президента Российской Федерации от 15 сентября 2008 г. N 1359 "Об открытом акционерном обществе "Оборонсервис".</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20" w:name="Par876"/>
      <w:bookmarkEnd w:id="120"/>
      <w:r>
        <w:rPr>
          <w:rFonts w:ascii="Arial" w:hAnsi="Arial" w:cs="Arial"/>
          <w:sz w:val="20"/>
          <w:szCs w:val="20"/>
        </w:rPr>
        <w:t>97. Гарантирующий поставщик определяет ценовую категорию для осуществления потребителем (покупателем в отношении потребителей) расчетов за электрическую энергию (мощность) по совокупности точек поставки в рамках границ балансовой принадлежности энергопринимающего устройства потребителя (совокупности энергопринимающих устройств потребителя, имеющих между собой электрические связи через принадлежащие потребителю объекты электросетевого хозяйства) (далее - совокупность энергопринимающих устройств) в соответствии с порядком, изложенным в настоящем пункте.</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Постановлений Правительства РФ от 31.07.2013 </w:t>
      </w:r>
      <w:hyperlink r:id="rId405" w:history="1">
        <w:r>
          <w:rPr>
            <w:rFonts w:ascii="Arial" w:hAnsi="Arial" w:cs="Arial"/>
            <w:color w:val="0000FF"/>
            <w:sz w:val="20"/>
            <w:szCs w:val="20"/>
          </w:rPr>
          <w:t>N 652</w:t>
        </w:r>
      </w:hyperlink>
      <w:r>
        <w:rPr>
          <w:rFonts w:ascii="Arial" w:hAnsi="Arial" w:cs="Arial"/>
          <w:sz w:val="20"/>
          <w:szCs w:val="20"/>
        </w:rPr>
        <w:t xml:space="preserve">, от 17.05.2016 </w:t>
      </w:r>
      <w:hyperlink r:id="rId406" w:history="1">
        <w:r>
          <w:rPr>
            <w:rFonts w:ascii="Arial" w:hAnsi="Arial" w:cs="Arial"/>
            <w:color w:val="0000FF"/>
            <w:sz w:val="20"/>
            <w:szCs w:val="20"/>
          </w:rPr>
          <w:t>N 433</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Потребители, максимальная мощность энергопринимающих устройств (совокупности энергопринимающих устройств) которых в границах балансовой принадлежности менее 670 кВт (покупатели в отношении таких потребителей), осуществляют выбор ценовой категории самостоятельно с учетом положений настоящего пункта посредством уведомления гарантирующего поставщика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применяется для расчетов за электрическую энергию (мощность) с даты введения в действие указанных тарифов на услуги по передаче электрической энергии) и имеют право выбрать:</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407"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17.05.2016 N 433)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первую ценовую категорию - при условии выбора одноставочного варианта тарифа на услуги по передаче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вторую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получать данные о потреблении электрической энергии по зонам суток, при условии выбора одноставочного варианта тарифа на услуги по передаче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 отношении потребителей, максимальная мощность энергопринимающих устройств (совокупности энергопринимающих устройств) которых в границах балансовой принадлежности составляет не менее 670 кВт (далее - потребители с максимальной мощностью энергопринимающих устройств (совокупности энергопринимающих устройств) не менее 670 кВт), до 1 июля 2013 г. ценовая категория определяется в порядке, установленном в настоящем пункте в отношении потребителей с максимальной мощностью энергопринимающих устройств (совокупности энергопринимающих устройств) менее 670 кВт, а с 1 июля 2013 г. (с 1 июля 2017 г. на территориях отдельных частей ценовых зон оптового рынка, ранее относившихся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с 1 июля года, следующего за годом включения территории, ранее технологически не связанной с Единой энергетической системой России и технологически изолированными территориальными электроэнергетическими системами, в состав территорий, которые объединены в ценовые зоны оптового рынка, - на соответствующей территории) - без возможности выбора и применения в отношении потребителей с максимальной мощностью энергопринимающих устройств (совокупности энергопринимающих устройств) не менее 670 кВт первой и второй ценовых категорий в соответствии со следующими требованиями.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Постановлений Правительства РФ от 17.05.2016 </w:t>
      </w:r>
      <w:hyperlink r:id="rId408" w:history="1">
        <w:r>
          <w:rPr>
            <w:rFonts w:ascii="Arial" w:hAnsi="Arial" w:cs="Arial"/>
            <w:color w:val="0000FF"/>
            <w:sz w:val="20"/>
            <w:szCs w:val="20"/>
          </w:rPr>
          <w:t>N 433</w:t>
        </w:r>
      </w:hyperlink>
      <w:r>
        <w:rPr>
          <w:rFonts w:ascii="Arial" w:hAnsi="Arial" w:cs="Arial"/>
          <w:sz w:val="20"/>
          <w:szCs w:val="20"/>
        </w:rPr>
        <w:t xml:space="preserve">, от 23.12.2016 </w:t>
      </w:r>
      <w:hyperlink r:id="rId409" w:history="1">
        <w:r>
          <w:rPr>
            <w:rFonts w:ascii="Arial" w:hAnsi="Arial" w:cs="Arial"/>
            <w:color w:val="0000FF"/>
            <w:sz w:val="20"/>
            <w:szCs w:val="20"/>
          </w:rPr>
          <w:t>N 1446</w:t>
        </w:r>
      </w:hyperlink>
      <w:r>
        <w:rPr>
          <w:rFonts w:ascii="Arial" w:hAnsi="Arial" w:cs="Arial"/>
          <w:sz w:val="20"/>
          <w:szCs w:val="20"/>
        </w:rPr>
        <w:t xml:space="preserve">, от 30.06.2018 </w:t>
      </w:r>
      <w:hyperlink r:id="rId410" w:history="1">
        <w:r>
          <w:rPr>
            <w:rFonts w:ascii="Arial" w:hAnsi="Arial" w:cs="Arial"/>
            <w:color w:val="0000FF"/>
            <w:sz w:val="20"/>
            <w:szCs w:val="20"/>
          </w:rPr>
          <w:t>N 761</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Потребители с максимальной мощностью энергопринимающих устройств (совокупности энергопринимающих устройств) не менее 670 кВт осуществляют выбор ценовой категории самостоятельно с учетом положений настоящего пункта посредством уведомления гарантирующего поставщика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применяется для расчетов за электрическую энергию (мощность) с даты введения в действие указанных тарифов на услуги по передаче электрической энергии) и имеют право выбрать:</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411"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17.05.2016 N 433)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этом в случае отсутствия уведомления о выборе иной, кроме первой и второй ценовых категорий, для расчетов за электрическую энергию (мощность) начиная с 1 июля 2013 г. в отношении потребителей с максимальной мощностью энергопринимающих устройств (совокупности энергопринимающих устройств) не менее 670 кВт применяется третья ценовая категория (для случая применения одноставочного тарифа на услуги по передаче электрической энергии) или четвертая ценовая категория (для случая применения двухставочного тарифа на услуги по передаче электрической энергии).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(в ред. </w:t>
      </w:r>
      <w:hyperlink r:id="rId412"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17.05.2016 N 433)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отсутствия уведомления о выборе ценовой категории для расчетов за электрическую энергию (мощность) на территориях отдельных частей ценовых зон оптового рынка, ранее относившихся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применяются: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413"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23.12.2016 N 1446)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 1 января 2017 г. - первая ценовая категория в случае, если по состоянию на 31 декабря 2016 г. применялась одноставочная цена (тариф), и вторая ценовая категория в случае, если по состоянию на 31 декабря 2016 г. применялась одноставочная цена (тариф), дифференцированная по 2 или 3 зонам суток;</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414"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23.12.2016 N 1446)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 1 июля 2017 г. - третья ценовая категория в отношении потребителей с максимальной мощностью энергопринимающего устройства (совокупности энергопринимающих устройств, имеющих между собой электрические связи через принадлежащие потребителю объекты электросетевого хозяйства) не менее 670 кВт.</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415"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23.12.2016 N 1446)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отсутствия уведомления о выборе ценовой категории для расчетов за электрическую энергию (мощность) на территориях, ранее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включенных в состав территорий, которые объединены в ценовые зоны оптового рынка, применяются: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416"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30.06.2018 N 761)</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 даты включения - первая ценовая категория в случае, если по состоянию на дату, предшествующую дате включения, применялась одноставочная цена (тариф), и вторая ценовая категория в случае, если по состоянию на дату, предшествующую дате включения, применялась одноставочная цена (тариф), дифференцированная по 2 или 3 зонам суток, и четвертая ценовая категория в случае, если по состоянию на дату, предшествующую дате включения, применялась трехставочная цена (тариф);</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417"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30.06.2018 N 761)</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 1 июля года, следующего за годом включения, - третья ценовая категория в отношении потребителей с максимальной мощностью энергопринимающего устройства (совокупности энергопринимающих устройств, имеющих между собой электрические связи через принадлежащие потребителю объекты электросетевого хозяйства) не менее 670 кВт.</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418"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30.06.2018 N 761)</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Изменение ценовой категории в рамках требований, предусмотренных настоящим пунктом, осуществляется путем направления уведомления гарантирующему поставщику за 10 рабочих дней до начала расчетного периода, с которого предполагается изменить ценовую категорию. При этом изменение уже выбранного на текущий период регулирования (расчетный период регулирования в пределах долгосрочного периода регулирования в соответствии с </w:t>
      </w:r>
      <w:hyperlink r:id="rId419" w:history="1">
        <w:r>
          <w:rPr>
            <w:rFonts w:ascii="Arial" w:hAnsi="Arial" w:cs="Arial"/>
            <w:color w:val="0000FF"/>
            <w:sz w:val="20"/>
            <w:szCs w:val="20"/>
          </w:rPr>
          <w:t>Основами</w:t>
        </w:r>
      </w:hyperlink>
      <w:r>
        <w:rPr>
          <w:rFonts w:ascii="Arial" w:hAnsi="Arial" w:cs="Arial"/>
          <w:sz w:val="20"/>
          <w:szCs w:val="20"/>
        </w:rPr>
        <w:t xml:space="preserve"> ценообразования в области регулируемых цен (тарифов) в электроэнергетике) варианта расчета за услуги по передаче электрической энергии не допускается, если иное не предусмотрено настоящим документом, а также указанными </w:t>
      </w:r>
      <w:hyperlink r:id="rId420" w:history="1">
        <w:r>
          <w:rPr>
            <w:rFonts w:ascii="Arial" w:hAnsi="Arial" w:cs="Arial"/>
            <w:color w:val="0000FF"/>
            <w:sz w:val="20"/>
            <w:szCs w:val="20"/>
          </w:rPr>
          <w:t>Основами</w:t>
        </w:r>
      </w:hyperlink>
      <w:r>
        <w:rPr>
          <w:rFonts w:ascii="Arial" w:hAnsi="Arial" w:cs="Arial"/>
          <w:sz w:val="20"/>
          <w:szCs w:val="20"/>
        </w:rPr>
        <w:t xml:space="preserve"> ценообразования.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Гарантирующий поставщик обязан производить расчеты по ценовой категории, указанной в уведомлении об изменении ценовой категории, с 1-го числа месяца, следующего за месяцем, в котором потребитель (покупатель) направил соответствующее уведомление, но не ранее: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даты, когда были допущены в эксплуатацию приборы учета, позволяющие измерять объемы потребления электрической энергии по зонам суток (переход ко второй ценовой категории);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даты, когда были допущены в эксплуатацию приборы учета, позволяющие измерять почасовые объемы потребления электрической энергии (переход к третьей - шестой ценовым категориям);</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421"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30.12.2017 N 1707)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абзац утратил силу. - </w:t>
      </w:r>
      <w:hyperlink r:id="rId422" w:history="1">
        <w:r>
          <w:rPr>
            <w:rFonts w:ascii="Arial" w:hAnsi="Arial" w:cs="Arial"/>
            <w:color w:val="0000FF"/>
            <w:sz w:val="20"/>
            <w:szCs w:val="20"/>
          </w:rPr>
          <w:t>Постановление</w:t>
        </w:r>
      </w:hyperlink>
      <w:r>
        <w:rPr>
          <w:rFonts w:ascii="Arial" w:hAnsi="Arial" w:cs="Arial"/>
          <w:sz w:val="20"/>
          <w:szCs w:val="20"/>
        </w:rPr>
        <w:t xml:space="preserve"> Правительства РФ от 07.07.2017 N 810.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Потребители, энергопринимающие устройства которых присоединены, в том числе опосредованно через энергопринимающие устройства, объекты по производству электрической энергии (мощности), объекты электросетевого хозяйства лиц, не оказывающих услуги по передаче, к объектам электросетевого хозяйства, входящим в единую национальную (общероссийскую) электрическую сеть, в том числе к объектам и (или) их частям, переданным организацией по управлению единой национальной (общероссийской) электрической сетью в аренду территориальным сетевым организациям (покупатели в отношении таких потребителей), а также потребители, энергопринимающие устройства которых опосредованно присоединены к электрическим сетям территориальной сетевой организации через энергетические установки производителей электрической энергии, выбирают между четвертой и шестой ценовыми категориями. При этом указанные потребители (покупатели) имеют право выбрать шестую ценовую категорию,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 При этом в случае отсутствия уведомления о выборе четвертой или шестой ценовой категории для расчетов за электрическую энергию (мощность) в отношении указанных потребителей (покупателей) применяется четвертая ценовая категория.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423"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31.07.2014 N 750)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Оплата электрической энергии (мощности) потребителями (покупателями), не выбравшими для расчетов с гарантирующим поставщиком пятую и шестую ценовые категории, производится исходя из фактических объемов потребления за соответствующий расчетный период.</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Абзац утратил силу. - </w:t>
      </w:r>
      <w:hyperlink r:id="rId424" w:history="1">
        <w:r>
          <w:rPr>
            <w:rFonts w:ascii="Arial" w:hAnsi="Arial" w:cs="Arial"/>
            <w:color w:val="0000FF"/>
            <w:sz w:val="20"/>
            <w:szCs w:val="20"/>
          </w:rPr>
          <w:t>Постановление</w:t>
        </w:r>
      </w:hyperlink>
      <w:r>
        <w:rPr>
          <w:rFonts w:ascii="Arial" w:hAnsi="Arial" w:cs="Arial"/>
          <w:sz w:val="20"/>
          <w:szCs w:val="20"/>
        </w:rPr>
        <w:t xml:space="preserve"> Правительства РФ от 30.12.2017 N 1707.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98. Предельные уровни нерегулируемых цен для ценовых категорий, предусмотренных </w:t>
      </w:r>
      <w:hyperlink w:anchor="Par724" w:history="1">
        <w:r>
          <w:rPr>
            <w:rFonts w:ascii="Arial" w:hAnsi="Arial" w:cs="Arial"/>
            <w:color w:val="0000FF"/>
            <w:sz w:val="20"/>
            <w:szCs w:val="20"/>
          </w:rPr>
          <w:t>пунктом 86</w:t>
        </w:r>
      </w:hyperlink>
      <w:r>
        <w:rPr>
          <w:rFonts w:ascii="Arial" w:hAnsi="Arial" w:cs="Arial"/>
          <w:sz w:val="20"/>
          <w:szCs w:val="20"/>
        </w:rPr>
        <w:t xml:space="preserve"> настоящего документа, публикуются гарантирующим поставщиком на его официальном сайте в сети "Интернет" или в официальном печатном издании по форме согласно </w:t>
      </w:r>
      <w:hyperlink r:id="rId425" w:history="1">
        <w:r>
          <w:rPr>
            <w:rFonts w:ascii="Arial" w:hAnsi="Arial" w:cs="Arial"/>
            <w:color w:val="0000FF"/>
            <w:sz w:val="20"/>
            <w:szCs w:val="20"/>
          </w:rPr>
          <w:t>Правилам</w:t>
        </w:r>
      </w:hyperlink>
      <w:r>
        <w:rPr>
          <w:rFonts w:ascii="Arial" w:hAnsi="Arial" w:cs="Arial"/>
          <w:sz w:val="20"/>
          <w:szCs w:val="20"/>
        </w:rPr>
        <w:t xml:space="preserve"> определения и применения гарантирующими поставщиками нерегулируемых цен на электрическую энергию (мощность) не позднее чем через 15 дней после окончания расчетного периода.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Предельные уровни нерегулируемых цен, а также составляющие предельных уровней нерегулируемых цен доводятся до сведения потребителей (покупателей) в счетах на оплату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Гарантирующий поставщик направляет коммерческому оператору оптового рынка в срок, не превышающий 16 дней со дня окончания расчетного периода, в порядке, установленном договором о присоединении к торговой системе оптового рынка, заключенным гарантирующим поставщиком, являющимся участником оптового рынка, или в порядке, установленном в соглашении об информационном обмене, заключенном для гарантирующего поставщика, не являющегося участником оптового рынка, следующую информацию: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средневзвешенная нерегулируемая цена электрической энергии (мощности), используемая для расчета предельного уровня нерегулируемой цены для первой ценовой категории;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составляющие расчета средневзвешенной нерегулируемой цены электрической энергии (мощности) по первой ценовой категории, указанные в </w:t>
      </w:r>
      <w:hyperlink w:anchor="Par736" w:history="1">
        <w:r>
          <w:rPr>
            <w:rFonts w:ascii="Arial" w:hAnsi="Arial" w:cs="Arial"/>
            <w:color w:val="0000FF"/>
            <w:sz w:val="20"/>
            <w:szCs w:val="20"/>
          </w:rPr>
          <w:t>пункте 88</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информация о данных, которые относятся к предыдущим расчетным периодам и учитываются в случаях, предусмотренных настоящим документом, при определении средневзвешенной нерегулируемой цены на электрическую энергию (мощность) в отношении потребителей (покупателей), выбравших для расчетов первую ценовую категорию, а также о причинах, вызвавших необходимость такого учета;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предельные уровни нерегулируемых цен для первой - шестой ценовых категорий;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составляющие предельных уровней нерегулируемых цен электрической энергии (мощности), использованные гарантирующим поставщиком при расчете предельных уровней цен за расчетный период для первой - шестой ценовых категорий;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нерегулируемые цены на электрическую энергию (мощность) (ставки нерегулируемых цен) для первой - шестой ценовых категорий в рамках соответствующих предельных уровней (ставок предельных уровней).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99. В случае если гарантирующий поставщик, функционирующий на территории субъекта Российской Федерации, входящего в ценовую зону оптового рынка, в соответствии с </w:t>
      </w:r>
      <w:hyperlink w:anchor="Par220" w:history="1">
        <w:r>
          <w:rPr>
            <w:rFonts w:ascii="Arial" w:hAnsi="Arial" w:cs="Arial"/>
            <w:color w:val="0000FF"/>
            <w:sz w:val="20"/>
            <w:szCs w:val="20"/>
          </w:rPr>
          <w:t>пунктом 13</w:t>
        </w:r>
      </w:hyperlink>
      <w:r>
        <w:rPr>
          <w:rFonts w:ascii="Arial" w:hAnsi="Arial" w:cs="Arial"/>
          <w:sz w:val="20"/>
          <w:szCs w:val="20"/>
        </w:rPr>
        <w:t xml:space="preserve"> настоящего документа приобретает электрическую энергию (мощность) у гарантирующих поставщиков - участников оптового рынка, функционирующих на территории того же субъекта Российской Федерации, то этот гарантирующий поставщик, покупающий электрическую энергию (мощность), определяет предельный уровень нерегулируемых цен для первой ценовой категории в соответствии с положениями настоящего раздела при условии применения вместо средневзвешенной нерегулируемой цены на электрическую энергию (мощность), рассчитываемой в соответствии с </w:t>
      </w:r>
      <w:hyperlink w:anchor="Par736" w:history="1">
        <w:r>
          <w:rPr>
            <w:rFonts w:ascii="Arial" w:hAnsi="Arial" w:cs="Arial"/>
            <w:color w:val="0000FF"/>
            <w:sz w:val="20"/>
            <w:szCs w:val="20"/>
          </w:rPr>
          <w:t>пунктом 88</w:t>
        </w:r>
      </w:hyperlink>
      <w:r>
        <w:rPr>
          <w:rFonts w:ascii="Arial" w:hAnsi="Arial" w:cs="Arial"/>
          <w:sz w:val="20"/>
          <w:szCs w:val="20"/>
        </w:rPr>
        <w:t xml:space="preserve"> настоящего документа, средневзвешенной нерегулируемой цены на электрическую энергию (мощность), покупаемую у указанных гарантирующих поставщиков, продающих электрическую энергию (мощность). Эта цена определяется как отношение следующих величин:</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разница между стоимостью покупки электрической энергии (мощности) гарантирующим поставщиком, покупающим электрическую энергию (мощность), у указанных гарантирующих поставщиков, продающих электрическую энергию (мощность), за соответствующий расчетный период, и суммой стоимости объемов электрической энергии (мощности) тех потребителей гарантирующего поставщика, покупающего электрическую энергию (мощность), к которым применяются вторая - шестая ценовые категории, рассчитанной исходя из нерегулируемых цен, определяемых гарантирующими поставщиками, продающими электрическую энергию (мощность), и стоимости объемов электрической энергии (мощности) населения и приравненных к нему категорий потребителей гарантирующего поставщика, покупающего электрическую энергию (мощность);</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объемы электрической энергии (мощности) потребителей гарантирующего поставщика, покупающего электрическую энергию (мощность), в отношении которых этим гарантирующим поставщиком применяется первая ценовая категория.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Предельный уровень нерегулируемых цен для остальных ценовых категорий этот гарантирующий поставщик, покупающий электрическую энергию (мощность), рассчитывает в соответствии с положениями настоящего раздела при условии применения нерегулируемых цен в рамках увеличенных на сбытовую надбавку гарантирующего поставщика, покупающего электрическую энергию (мощность), определяемых гарантирующими поставщиками, продающими электрическую энергию (мощность), предельных уровней нерегулируемых цен для соответствующих ценовых категорий с учетом долей покупки у указанных гарантирующих поставщиков.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Рассматриваемый в настоящем пункте гарантирующий поставщик, покупающий электрическую энергию (мощность), публикует предельные уровни нерегулируемых цен для ценовых категорий и их составляющие на своем официальном сайте в сети "Интернет" или в официальном печатном издании по форме согласно </w:t>
      </w:r>
      <w:hyperlink r:id="rId426" w:history="1">
        <w:r>
          <w:rPr>
            <w:rFonts w:ascii="Arial" w:hAnsi="Arial" w:cs="Arial"/>
            <w:color w:val="0000FF"/>
            <w:sz w:val="20"/>
            <w:szCs w:val="20"/>
          </w:rPr>
          <w:t>Правилам</w:t>
        </w:r>
      </w:hyperlink>
      <w:r>
        <w:rPr>
          <w:rFonts w:ascii="Arial" w:hAnsi="Arial" w:cs="Arial"/>
          <w:sz w:val="20"/>
          <w:szCs w:val="20"/>
        </w:rPr>
        <w:t xml:space="preserve"> определения и применения гарантирующими поставщиками нерегулируемых цен на электрическую энергию (мощность) не позднее 18 дней по окончании расчетного периода.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21" w:name="Par932"/>
      <w:bookmarkEnd w:id="121"/>
      <w:r>
        <w:rPr>
          <w:rFonts w:ascii="Arial" w:hAnsi="Arial" w:cs="Arial"/>
          <w:sz w:val="20"/>
          <w:szCs w:val="20"/>
        </w:rPr>
        <w:t xml:space="preserve">100. Для определения и применения гарантирующим поставщиком предельных уровней нерегулируемых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 документом, </w:t>
      </w:r>
      <w:hyperlink r:id="rId427" w:history="1">
        <w:r>
          <w:rPr>
            <w:rFonts w:ascii="Arial" w:hAnsi="Arial" w:cs="Arial"/>
            <w:color w:val="0000FF"/>
            <w:sz w:val="20"/>
            <w:szCs w:val="20"/>
          </w:rPr>
          <w:t>Правилами</w:t>
        </w:r>
      </w:hyperlink>
      <w:r>
        <w:rPr>
          <w:rFonts w:ascii="Arial" w:hAnsi="Arial" w:cs="Arial"/>
          <w:sz w:val="20"/>
          <w:szCs w:val="20"/>
        </w:rPr>
        <w:t xml:space="preserve"> оптового рынка, </w:t>
      </w:r>
      <w:hyperlink r:id="rId428" w:history="1">
        <w:r>
          <w:rPr>
            <w:rFonts w:ascii="Arial" w:hAnsi="Arial" w:cs="Arial"/>
            <w:color w:val="0000FF"/>
            <w:sz w:val="20"/>
            <w:szCs w:val="20"/>
          </w:rPr>
          <w:t>Правилами</w:t>
        </w:r>
      </w:hyperlink>
      <w:r>
        <w:rPr>
          <w:rFonts w:ascii="Arial" w:hAnsi="Arial" w:cs="Arial"/>
          <w:sz w:val="20"/>
          <w:szCs w:val="20"/>
        </w:rPr>
        <w:t xml:space="preserve"> определения и применения гарантирующими поставщиками нерегулируемых цен на электрическую энергию (мощность), а также договором о присоединении к торговой системе оптового рынка и публикует на своем официальном сайте в сети "Интернет" следующие составляющие предельных уровней нерегулируемых цен и параметры, используемые для расчета: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фактический объем потребления электрической энергии гарантирующим поставщиком на оптовом рынке за соответствующий расчетный период;</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объем фактического пикового потребления гарантирующего поставщика на оптовом рынке за соответствующий расчетный период;</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коэффициент оплаты мощности для соответствующей зоны суток расчетного периода;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средневзвешенная нерегулируемая цена на электрическую энергию на оптовом рынке, определяемая за соответствующий расчетный период по результатам конкурентных отборов на сутки вперед и для балансирования системы;</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ценовых заявок на сутки вперед и для балансирования системы;</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средневзвешенная нерегулируемая цена на мощность на оптовом рынке.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22" w:name="Par945"/>
      <w:bookmarkEnd w:id="122"/>
      <w:r>
        <w:rPr>
          <w:rFonts w:ascii="Arial" w:hAnsi="Arial" w:cs="Arial"/>
          <w:sz w:val="20"/>
          <w:szCs w:val="20"/>
        </w:rPr>
        <w:t>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Абзацы второй - третий утратили силу. - </w:t>
      </w:r>
      <w:hyperlink r:id="rId429" w:history="1">
        <w:r>
          <w:rPr>
            <w:rFonts w:ascii="Arial" w:hAnsi="Arial" w:cs="Arial"/>
            <w:color w:val="0000FF"/>
            <w:sz w:val="20"/>
            <w:szCs w:val="20"/>
          </w:rPr>
          <w:t>Постановление</w:t>
        </w:r>
      </w:hyperlink>
      <w:r>
        <w:rPr>
          <w:rFonts w:ascii="Arial" w:hAnsi="Arial" w:cs="Arial"/>
          <w:sz w:val="20"/>
          <w:szCs w:val="20"/>
        </w:rPr>
        <w:t xml:space="preserve"> Правительства РФ от 21.07.2017 N 863.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определении предельных уровней нерегулируемых цен гарантирующий поставщик определяет и применяет значение платы за иные услуги, оказание которых является неотъемлемой частью процесса поставки электрической энергии потребителям, равное отношению суммы стоимости услуги по оперативно-диспетчерскому управлению в электроэнергетике, стоимости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и стоимости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к сумме объемов потребления электрической энергии потребителями (покупателями), осуществляющими расчеты по первой - шестой ценовым категориям, населением и приравненными к нему категориями потребителей, уменьшенной на объем потребления электрической энергии потребителями (покупателями), приобретенный гарантирующим поставщиком у энергосбытовых (энергоснабжающих) организаций в соответствии с </w:t>
      </w:r>
      <w:hyperlink w:anchor="Par553" w:history="1">
        <w:r>
          <w:rPr>
            <w:rFonts w:ascii="Arial" w:hAnsi="Arial" w:cs="Arial"/>
            <w:color w:val="0000FF"/>
            <w:sz w:val="20"/>
            <w:szCs w:val="20"/>
          </w:rPr>
          <w:t>пунктом 58</w:t>
        </w:r>
      </w:hyperlink>
      <w:r>
        <w:rPr>
          <w:rFonts w:ascii="Arial" w:hAnsi="Arial" w:cs="Arial"/>
          <w:sz w:val="20"/>
          <w:szCs w:val="20"/>
        </w:rPr>
        <w:t xml:space="preserve"> настоящего документа. Стоимость услуги по оперативно-диспетчерскому управлению в электроэнергетике,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и стоимость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рассчитываются и публикуются коммерческим оператором оптового рынка на своем официальном сайте в сети "Интернет" в порядке, предусмотренном договором о присоединении к торговой системе оптового рынка.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Постановлений Правительства РФ от 30.12.2012 </w:t>
      </w:r>
      <w:hyperlink r:id="rId430" w:history="1">
        <w:r>
          <w:rPr>
            <w:rFonts w:ascii="Arial" w:hAnsi="Arial" w:cs="Arial"/>
            <w:color w:val="0000FF"/>
            <w:sz w:val="20"/>
            <w:szCs w:val="20"/>
          </w:rPr>
          <w:t>N 1482</w:t>
        </w:r>
      </w:hyperlink>
      <w:r>
        <w:rPr>
          <w:rFonts w:ascii="Arial" w:hAnsi="Arial" w:cs="Arial"/>
          <w:sz w:val="20"/>
          <w:szCs w:val="20"/>
        </w:rPr>
        <w:t xml:space="preserve">, от 07.07.2017 </w:t>
      </w:r>
      <w:hyperlink r:id="rId431" w:history="1">
        <w:r>
          <w:rPr>
            <w:rFonts w:ascii="Arial" w:hAnsi="Arial" w:cs="Arial"/>
            <w:color w:val="0000FF"/>
            <w:sz w:val="20"/>
            <w:szCs w:val="20"/>
          </w:rPr>
          <w:t>N 810</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Плата за иные услуги, оказание которых является неотъемлемой частью процесса поставки электрической энергии, определяется в одноставочном выражении.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Тарифы на услуги по передаче электрической энергии не включаются в плату за иные услуги, оказание которых является неотъемлемой частью процесса поставки электрической энергии потребителям.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102. В случае если в качестве потребителя по договору купли-продажи (поставки) электрической энергии (мощности) выступает сетевая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условиями настоящего раздела, предусмотренными для потребителей с максимальной мощностью менее 670 кВт. Определение и применение предельных уровней нерегулируемых цен осуществляется в порядке, изложенном в настоящем разделе, с учетом особенностей </w:t>
      </w:r>
      <w:hyperlink w:anchor="Par864" w:history="1">
        <w:r>
          <w:rPr>
            <w:rFonts w:ascii="Arial" w:hAnsi="Arial" w:cs="Arial"/>
            <w:color w:val="0000FF"/>
            <w:sz w:val="20"/>
            <w:szCs w:val="20"/>
          </w:rPr>
          <w:t>пункта 96</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432"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23.01.2015 N 47)</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VI. Особенности функционирования розничных рынков</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в отдельных частях ценовых зон оптового рынка</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bookmarkStart w:id="123" w:name="Par957"/>
      <w:bookmarkEnd w:id="123"/>
      <w:r>
        <w:rPr>
          <w:rFonts w:ascii="Arial" w:hAnsi="Arial" w:cs="Arial"/>
          <w:sz w:val="20"/>
          <w:szCs w:val="20"/>
        </w:rPr>
        <w:t xml:space="preserve">103. При наступлении до 1 января 2015 г. для гарантирующих поставщиков, являющихся субъектами оптового рынка, функционирующих на территориях отдельных частей ценовых зон оптового рынка, для которых Правительством Российской Федерации установлены особенности функционирования оптового рынка и перечень которых определяется в соответствии с </w:t>
      </w:r>
      <w:hyperlink r:id="rId433" w:history="1">
        <w:r>
          <w:rPr>
            <w:rFonts w:ascii="Arial" w:hAnsi="Arial" w:cs="Arial"/>
            <w:color w:val="0000FF"/>
            <w:sz w:val="20"/>
            <w:szCs w:val="20"/>
          </w:rPr>
          <w:t>Правилами</w:t>
        </w:r>
      </w:hyperlink>
      <w:r>
        <w:rPr>
          <w:rFonts w:ascii="Arial" w:hAnsi="Arial" w:cs="Arial"/>
          <w:sz w:val="20"/>
          <w:szCs w:val="20"/>
        </w:rPr>
        <w:t xml:space="preserve"> оптового рынка, обстоятельств, предусмотренных </w:t>
      </w:r>
      <w:hyperlink w:anchor="Par1636" w:history="1">
        <w:r>
          <w:rPr>
            <w:rFonts w:ascii="Arial" w:hAnsi="Arial" w:cs="Arial"/>
            <w:color w:val="0000FF"/>
            <w:sz w:val="20"/>
            <w:szCs w:val="20"/>
          </w:rPr>
          <w:t>абзацами вторым</w:t>
        </w:r>
      </w:hyperlink>
      <w:r>
        <w:rPr>
          <w:rFonts w:ascii="Arial" w:hAnsi="Arial" w:cs="Arial"/>
          <w:sz w:val="20"/>
          <w:szCs w:val="20"/>
        </w:rPr>
        <w:t xml:space="preserve"> и </w:t>
      </w:r>
      <w:hyperlink w:anchor="Par1638" w:history="1">
        <w:r>
          <w:rPr>
            <w:rFonts w:ascii="Arial" w:hAnsi="Arial" w:cs="Arial"/>
            <w:color w:val="0000FF"/>
            <w:sz w:val="20"/>
            <w:szCs w:val="20"/>
          </w:rPr>
          <w:t>четвертым пункта 202</w:t>
        </w:r>
      </w:hyperlink>
      <w:r>
        <w:rPr>
          <w:rFonts w:ascii="Arial" w:hAnsi="Arial" w:cs="Arial"/>
          <w:sz w:val="20"/>
          <w:szCs w:val="20"/>
        </w:rPr>
        <w:t xml:space="preserve"> настоящего документа, конкурсы на присвоение статуса гарантирующего поставщика в отношении таких гарантирующих поставщиков не проводятся.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434"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30.12.2012 N 1482)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24" w:name="Par959"/>
      <w:bookmarkEnd w:id="124"/>
      <w:r>
        <w:rPr>
          <w:rFonts w:ascii="Arial" w:hAnsi="Arial" w:cs="Arial"/>
          <w:sz w:val="20"/>
          <w:szCs w:val="20"/>
        </w:rPr>
        <w:t xml:space="preserve">104. Гарантирующие поставщики, являющиеся субъектами оптового рынка, функционирующие на указанных в </w:t>
      </w:r>
      <w:hyperlink w:anchor="Par957" w:history="1">
        <w:r>
          <w:rPr>
            <w:rFonts w:ascii="Arial" w:hAnsi="Arial" w:cs="Arial"/>
            <w:color w:val="0000FF"/>
            <w:sz w:val="20"/>
            <w:szCs w:val="20"/>
          </w:rPr>
          <w:t>пункте 103</w:t>
        </w:r>
      </w:hyperlink>
      <w:r>
        <w:rPr>
          <w:rFonts w:ascii="Arial" w:hAnsi="Arial" w:cs="Arial"/>
          <w:sz w:val="20"/>
          <w:szCs w:val="20"/>
        </w:rPr>
        <w:t xml:space="preserve"> настоящего документа территориях, продают электрическую энергию (мощность) на розничных рынках в границах своих зон деятельности в качестве гарантирующих поставщиков потребителям (покупателям), за исключением населения и приравненных к нему категорий потребителей, по нерегулируемым ценам в рамках предельных уровней нерегулируемых цен на электрическую энергию (мощность), рассчитанных в соответствии с настоящим документом с учетом объемов электрической энергии и мощности, приобретаемых по регулируемым договорам на оптовом рынке (за исключением регулируемых договоров, заключаемых для обеспечения электрической энергией (мощностью) населения и приравненных к нему категорий потребителей), и индикативных цен на электрическую энергию и мощность, установленных федеральным органом исполнительной власти в области регулирования тарифов в соответствующем субъекте Российской Федерации.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105. Если договор энергоснабжения (купли-продажи (поставки) электрической энергии (мощности)) заключается гарантирующим поставщиком, указанным в </w:t>
      </w:r>
      <w:hyperlink w:anchor="Par959" w:history="1">
        <w:r>
          <w:rPr>
            <w:rFonts w:ascii="Arial" w:hAnsi="Arial" w:cs="Arial"/>
            <w:color w:val="0000FF"/>
            <w:sz w:val="20"/>
            <w:szCs w:val="20"/>
          </w:rPr>
          <w:t>пункте 104</w:t>
        </w:r>
      </w:hyperlink>
      <w:r>
        <w:rPr>
          <w:rFonts w:ascii="Arial" w:hAnsi="Arial" w:cs="Arial"/>
          <w:sz w:val="20"/>
          <w:szCs w:val="20"/>
        </w:rPr>
        <w:t xml:space="preserve"> настоящего документа, с энергосбытовой (энергоснабжающей) организацией, то в таком договоре помимо условия о предварительной оплате электрической энергии (мощности) должно также быть условие о предоставлении энергосбытовой (энергоснабжающей) организацией обеспечения исполнения ею обязательств по оплате по такому договору в виде предоставления безотзывной банковской гарантии либо государственной или муниципальной гарантии на весь срок действия договора, если иное не установлено соглашением сторон.</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25" w:name="Par961"/>
      <w:bookmarkEnd w:id="125"/>
      <w:r>
        <w:rPr>
          <w:rFonts w:ascii="Arial" w:hAnsi="Arial" w:cs="Arial"/>
          <w:sz w:val="20"/>
          <w:szCs w:val="20"/>
        </w:rPr>
        <w:t xml:space="preserve">106. Для заключения договора энергоснабжения (купли-продажи (поставки) электрической энергии (мощности)) с гарантирующим поставщиком, указанным в </w:t>
      </w:r>
      <w:hyperlink w:anchor="Par959" w:history="1">
        <w:r>
          <w:rPr>
            <w:rFonts w:ascii="Arial" w:hAnsi="Arial" w:cs="Arial"/>
            <w:color w:val="0000FF"/>
            <w:sz w:val="20"/>
            <w:szCs w:val="20"/>
          </w:rPr>
          <w:t>пункте 104</w:t>
        </w:r>
      </w:hyperlink>
      <w:r>
        <w:rPr>
          <w:rFonts w:ascii="Arial" w:hAnsi="Arial" w:cs="Arial"/>
          <w:sz w:val="20"/>
          <w:szCs w:val="20"/>
        </w:rPr>
        <w:t xml:space="preserve"> настоящего документа, энергосбытовая (энергоснабжающая) организация, помимо документов, предусмотренных </w:t>
      </w:r>
      <w:hyperlink w:anchor="Par360" w:history="1">
        <w:r>
          <w:rPr>
            <w:rFonts w:ascii="Arial" w:hAnsi="Arial" w:cs="Arial"/>
            <w:color w:val="0000FF"/>
            <w:sz w:val="20"/>
            <w:szCs w:val="20"/>
          </w:rPr>
          <w:t>пунктом 34</w:t>
        </w:r>
      </w:hyperlink>
      <w:r>
        <w:rPr>
          <w:rFonts w:ascii="Arial" w:hAnsi="Arial" w:cs="Arial"/>
          <w:sz w:val="20"/>
          <w:szCs w:val="20"/>
        </w:rPr>
        <w:t xml:space="preserve"> настоящего документа, представляет гарантирующему поставщику заверенные надлежащим образом копии документов (в том числе соответствующих договоров и решений) о предоставлении обеспечения исполнения ею обязательств по оплате по договору в виде безотзывной банковской гарантии либо государственной или муниципальной гарантии.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непредставления энергосбытовой (энергоснабжающей) организацией документов о предоставлении обеспечения исполнения обязательств по договору в виде указанной гарантии гарантирующий поставщик в течение 5 рабочих дней со дня получения заявления о заключении договора энергоснабжения (купли-продажи (поставки) электрической энергии (мощности)) уведомляет об этом энергосбытовую (энергоснабжающую) организацию способом, позволяющим подтвердить получение указанного уведомления, и в течение 30 дней со дня получения от нее таких документов рассматривает ее заявление о заключении договора в соответствии с порядком, установленным </w:t>
      </w:r>
      <w:hyperlink w:anchor="Par409" w:history="1">
        <w:r>
          <w:rPr>
            <w:rFonts w:ascii="Arial" w:hAnsi="Arial" w:cs="Arial"/>
            <w:color w:val="0000FF"/>
            <w:sz w:val="20"/>
            <w:szCs w:val="20"/>
          </w:rPr>
          <w:t>пунктом 39</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Размер указанной гарантии в обеспечение исполнения обязательств по оплате электрической энергии (мощности), предоставляемой энергосбытовой (энергоснабжающей) организацией гарантирующему поставщику, должен быть не менее стоимости электрической энергии (мощности) в объеме фактического </w:t>
      </w:r>
      <w:r>
        <w:rPr>
          <w:rFonts w:ascii="Arial" w:hAnsi="Arial" w:cs="Arial"/>
          <w:sz w:val="20"/>
          <w:szCs w:val="20"/>
        </w:rPr>
        <w:lastRenderedPageBreak/>
        <w:t>потребления в предыдущем году теми потребителями, в целях обслуживания которых эта энергосбытовая (энергоснабжающая) организация заключает договор с гарантирующим поставщиком.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Срок, на который предоставляется указанная гарантия, должен быть не менее 1 года. В случае если срок действия заключенного энергосбытовой (энергоснабжающей) организацией с гарантирующим поставщиком договора менее 1 года, указанная гарантия должна предоставляться на весь срок действия такого договора.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если срок действия заключенного энергосбытовой (энергоснабжающей) организацией с гарантирующим поставщиком договора составляет более 1 года, обеспечение исполнения обязательств на каждый следующий год его действия должно быть предоставлено энергосбытовой (энергоснабжающей) организацией гарантирующему поставщику не позднее чем за 60 дней до начала следующего года, кроме случаев, когда ранее предоставленная гарантия продолжает действовать на весь или часть следующего года.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если вследствие неисполнения либо ненадлежащего исполнения энергосбытовой (энергоснабжающей) организацией обязательств по договору гарантирующим поставщиком будет реализована предоставленная ему гарантия, энергосбытовая (энергоснабжающая) организация обязана не позднее 30 дней после этого представить гарантирующему поставщику документы, подтверждающие возобновление гарантии в требуемом в соответствии с настоящим пунктом размере.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неисполнения или ненадлежащего исполнения энергосбытовой (энергоснабжающей) организацией установленных договором обязательств по оплате, в том числе предварительной (если при этом энергосбытовая (энергоснабжающая) организация в установленные в настоящем пункте сроки после заключения договора не предоставила указанную гарантию, либо срок действия ранее предоставленной гарантии истек, либо не была возобновлена гарантия, ранее предоставленная и реализованная гарантирующим поставщиком), гарантирующий поставщик вправе в одностороннем порядке отказаться полностью от исполнения договора энергоснабжения (купли-продажи (поставки) электрической энергии (мощности)), заключенного энергосбытовой (энергоснабжающей) организацией, путем направления уведомления в соответствии с </w:t>
      </w:r>
      <w:hyperlink w:anchor="Par522" w:history="1">
        <w:r>
          <w:rPr>
            <w:rFonts w:ascii="Arial" w:hAnsi="Arial" w:cs="Arial"/>
            <w:color w:val="0000FF"/>
            <w:sz w:val="20"/>
            <w:szCs w:val="20"/>
          </w:rPr>
          <w:t>пунктом 53</w:t>
        </w:r>
      </w:hyperlink>
      <w:r>
        <w:rPr>
          <w:rFonts w:ascii="Arial" w:hAnsi="Arial" w:cs="Arial"/>
          <w:sz w:val="20"/>
          <w:szCs w:val="20"/>
        </w:rPr>
        <w:t xml:space="preserve"> настоящего документа, что влечет за собой расторжение такого договора.</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bookmarkStart w:id="126" w:name="Par969"/>
      <w:bookmarkEnd w:id="126"/>
      <w:r>
        <w:rPr>
          <w:rFonts w:ascii="Arial" w:eastAsiaTheme="minorHAnsi" w:hAnsi="Arial" w:cs="Arial"/>
          <w:color w:val="auto"/>
          <w:sz w:val="20"/>
          <w:szCs w:val="20"/>
        </w:rPr>
        <w:t>VII. Основные положения функционирования розничных</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рынков электрической энергии на территориях неценовых зон</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оптового рынка</w:t>
      </w: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(в ред. </w:t>
      </w:r>
      <w:hyperlink r:id="rId435"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17.05.2016 N 433)</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107. Функционирование розничных рынков на территориях, объединенных в неценовые зоны оптового рынка, осуществляется в соответствии с </w:t>
      </w:r>
      <w:hyperlink w:anchor="Par104" w:history="1">
        <w:r>
          <w:rPr>
            <w:rFonts w:ascii="Arial" w:hAnsi="Arial" w:cs="Arial"/>
            <w:color w:val="0000FF"/>
            <w:sz w:val="20"/>
            <w:szCs w:val="20"/>
          </w:rPr>
          <w:t>разделами I</w:t>
        </w:r>
      </w:hyperlink>
      <w:r>
        <w:rPr>
          <w:rFonts w:ascii="Arial" w:hAnsi="Arial" w:cs="Arial"/>
          <w:sz w:val="20"/>
          <w:szCs w:val="20"/>
        </w:rPr>
        <w:t xml:space="preserve"> - </w:t>
      </w:r>
      <w:hyperlink w:anchor="Par667" w:history="1">
        <w:r>
          <w:rPr>
            <w:rFonts w:ascii="Arial" w:hAnsi="Arial" w:cs="Arial"/>
            <w:color w:val="0000FF"/>
            <w:sz w:val="20"/>
            <w:szCs w:val="20"/>
          </w:rPr>
          <w:t>IV</w:t>
        </w:r>
      </w:hyperlink>
      <w:r>
        <w:rPr>
          <w:rFonts w:ascii="Arial" w:hAnsi="Arial" w:cs="Arial"/>
          <w:sz w:val="20"/>
          <w:szCs w:val="20"/>
        </w:rPr>
        <w:t xml:space="preserve"> и </w:t>
      </w:r>
      <w:hyperlink w:anchor="Par1130" w:history="1">
        <w:r>
          <w:rPr>
            <w:rFonts w:ascii="Arial" w:hAnsi="Arial" w:cs="Arial"/>
            <w:color w:val="0000FF"/>
            <w:sz w:val="20"/>
            <w:szCs w:val="20"/>
          </w:rPr>
          <w:t>IX</w:t>
        </w:r>
      </w:hyperlink>
      <w:r>
        <w:rPr>
          <w:rFonts w:ascii="Arial" w:hAnsi="Arial" w:cs="Arial"/>
          <w:sz w:val="20"/>
          <w:szCs w:val="20"/>
        </w:rPr>
        <w:t xml:space="preserve"> - </w:t>
      </w:r>
      <w:hyperlink w:anchor="Par1588" w:history="1">
        <w:r>
          <w:rPr>
            <w:rFonts w:ascii="Arial" w:hAnsi="Arial" w:cs="Arial"/>
            <w:color w:val="0000FF"/>
            <w:sz w:val="20"/>
            <w:szCs w:val="20"/>
          </w:rPr>
          <w:t>XI</w:t>
        </w:r>
      </w:hyperlink>
      <w:r>
        <w:rPr>
          <w:rFonts w:ascii="Arial" w:hAnsi="Arial" w:cs="Arial"/>
          <w:sz w:val="20"/>
          <w:szCs w:val="20"/>
        </w:rPr>
        <w:t xml:space="preserve"> настоящего документа с учетом указанных в настоящем разделе положений.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Регулируемые цены на электрическую энергию (мощность), поставляемую на розничных рынках на территориях, объединенных в неценовые зоны оптового рынка, за исключением населения и приравненных к нему категорий потребителей (далее - конечные регулируемые цены), за соответствующий расчетный период рассчитываются гарантирующим поставщиком (энергосбытовой, энергоснабжающей организацией) в соответствии с </w:t>
      </w:r>
      <w:hyperlink w:anchor="Par2057" w:history="1">
        <w:r>
          <w:rPr>
            <w:rFonts w:ascii="Arial" w:hAnsi="Arial" w:cs="Arial"/>
            <w:color w:val="0000FF"/>
            <w:sz w:val="20"/>
            <w:szCs w:val="20"/>
          </w:rPr>
          <w:t>разделом XII</w:t>
        </w:r>
      </w:hyperlink>
      <w:r>
        <w:rPr>
          <w:rFonts w:ascii="Arial" w:hAnsi="Arial" w:cs="Arial"/>
          <w:sz w:val="20"/>
          <w:szCs w:val="20"/>
        </w:rPr>
        <w:t xml:space="preserve"> настоящего документа по следующим ценовым категориям: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первая ценовая категория - для объемов покупки электрической энергии (мощности), учет которых осуществляется в целом за расчетный период;</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вторая ценовая категория - для объемов покупки электрической энергии (мощности), учет которых осуществляется по зонам суток расчетного периода;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третья ценовая категория - 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четвертая ценовая категория - 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w:t>
      </w:r>
      <w:r>
        <w:rPr>
          <w:rFonts w:ascii="Arial" w:hAnsi="Arial" w:cs="Arial"/>
          <w:sz w:val="20"/>
          <w:szCs w:val="20"/>
        </w:rPr>
        <w:lastRenderedPageBreak/>
        <w:t>планирование,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шестая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Конечные регулируемые цены дифференцируются по уровням напряжения в соответствии с дифференциацией тарифов (ставок тарифов) на услуги по передаче электрической энергии, а также по группам (подгруппам) потребителей, предусмотренным дифференциацией сбытовых надбавок гарантирующих поставщиков.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108. Гарантирующий поставщик (энергосбытовая, энергоснабжающая организация) определяет ценовую категорию для осуществления потребителем (покупателем в отношении потребителя) расчетов за электрическую энергию (мощность) по совокупности точек поставки в рамках границ балансовой принадлежности энергопринимающего устройства (совокупности энергопринимающих устройств) потребителя электрической энергии (мощности) в порядке, предусмотренном настоящим пунктом.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менее 670 кВт (покупатель в отношении такого потребителя), осуществляет выбор ценовой категории самостоятельно с учетом положений настоящего пункта посредством уведомления гарантирующего поставщика (энергосбытовой, энергоснабжающей организации)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и имеет право выбрать:</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первую ценовую категорию - при условии выбора потребителем одноставочного варианта тарифа на услуги по передаче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вторую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получать данные о потреблении электрической энергии по зонам суток, при условии выбора потребителем одноставочного варианта тарифа на услуги по передаче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одноставочного варианта тарифа на услуги по передаче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возможности выбора варианта тарифа на услуги по передаче электрической энергии в случаях, предусмотренных настоящим пунктом;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w:t>
      </w:r>
      <w:r>
        <w:rPr>
          <w:rFonts w:ascii="Arial" w:hAnsi="Arial" w:cs="Arial"/>
          <w:sz w:val="20"/>
          <w:szCs w:val="20"/>
        </w:rPr>
        <w:lastRenderedPageBreak/>
        <w:t>почасовые объемы потребления электрической энергии, при условии выбора потребителем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возможности выбора варианта тарифа на услуги по передаче электрической энергии в случаях, предусмотренных настоящим пунктом,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Выбранная потребителем ценовая категория применяется для расчетов за электрическую энергию (мощность) с даты введения в действие выбранных таким потребителем тарифов на услуги по передаче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отсутствия уведомления о выборе ценовой категории для расчетов за электрическую энергию (мощность) применяется первая ценовая категория, в случае если по состоянию на 30 июня 2016 г. применялась одноставочная цена (тариф), вторая ценовая категория, в случае если по состоянию на 30 июня 2016 г. применялась одноставочная цена (тариф), дифференцированная по 2 или 3 зонам суток времени, и четвертая ценовая категория, в случае если по состоянию на 30 июня 2016 г. применялась трехставочная цена (тариф).</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отсутствия уведомления о выборе ценовой категории для расчетов за электрическую энергию (мощность) на территории, которая присоединяется к Единой энергетической системе России и включается в состав </w:t>
      </w:r>
      <w:hyperlink r:id="rId436" w:history="1">
        <w:r>
          <w:rPr>
            <w:rFonts w:ascii="Arial" w:hAnsi="Arial" w:cs="Arial"/>
            <w:color w:val="0000FF"/>
            <w:sz w:val="20"/>
            <w:szCs w:val="20"/>
          </w:rPr>
          <w:t>территорий</w:t>
        </w:r>
      </w:hyperlink>
      <w:r>
        <w:rPr>
          <w:rFonts w:ascii="Arial" w:hAnsi="Arial" w:cs="Arial"/>
          <w:sz w:val="20"/>
          <w:szCs w:val="20"/>
        </w:rPr>
        <w:t>, которые объединены в неценовые зоны оптового рынка, со дня указанного включения ценовая категория применяется в следующем порядке:</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437"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08.12.2018 N 1496)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 1-го числа месяца, следующего за датой присоединения, - первая ценовая категория в случае, если по состоянию на день, предшествующий дате присоединения, применялась одноставочная цена (тариф), вторая ценовая категория в случае, если по состоянию на день, предшествующий дате включения, применялась одноставочная цена (тариф), дифференцированная по 2 или 3 зонам суток, и четвертая ценовая категория в случае, если по состоянию на день, предшествующий дате включения, применялась трехставочная цена (тариф);</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438"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08.12.2018 N 1496)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 1 июля года, следующего за годом присоединения, - четвертая ценовая категория в отношении потребителей, максимальная мощность энергопринимающего устройства (совокупности энергопринимающих устройств) которых составляет не менее 670 кВт.</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439"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08.12.2018 N 1496)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не менее 670 кВт (покупатель в отношении такого потребителя), осуществляет выбор ценовой категории в порядке, установленном настоящим пунктом, без возможности выбора и применения первой, второй, третьей и пятой ценовых категорий.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не менее 670 кВт (покупатель в отношении такого потребителя), выбирает между четвертой и шестой ценовыми категориями. При этом указанный потребитель (покупатель) имеет право выбрать четвертую ценовую категорию вне зависимости от оборудования его энергопринимающего устройства (совокупности энергопринимающих устройств) приборами учета, шестую ценовую категорию - если энергопринимающее устройство (совокупность энергопринимающих устройств), в отношении которого приобретается электрическая энергия (мощность), оборудовано приборами учета, позволяющими измерять почасовые объемы потребления электрической энергии, при условии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 При этом в случае отсутствия уведомления о выборе четвертой или шестой ценовых категорий для расчетов за электрическую энергию (мощность) в отношении указанного потребителя (покупателя) применяется четвертая ценовая категория.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Изменение ценовой категории в рамках положений, предусмотренных настоящим пунктом, осуществляется путем направления уведомления гарантирующему поставщику (энергосбытовой, энергоснабжающей организации) за 10 рабочих дней до начала расчетного периода, с которого предполагается изменить ценовую категорию. При этом изменение уже выбранного на текущий период </w:t>
      </w:r>
      <w:r>
        <w:rPr>
          <w:rFonts w:ascii="Arial" w:hAnsi="Arial" w:cs="Arial"/>
          <w:sz w:val="20"/>
          <w:szCs w:val="20"/>
        </w:rPr>
        <w:lastRenderedPageBreak/>
        <w:t>регулирования (на расчетный период регулирования в пределах долгосрочного периода регулирования в соответствии с Основами ценообразования в области регулируемых цен (тарифов) в электроэнергетике) варианта расчета за услуги по передаче электрической энергии не допускается, если иное не предусмотрено Основами ценообразования в области регулируемых цен (тарифов) в электроэнергетике.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Гарантирующий поставщик (энергосбытовая, энергоснабжающая организация) обязан производить расчеты по ценовой категории, указанной в уведомлении об изменении ценовой категории, с 1-го числа месяца, следующего за месяцем, в котором потребитель (покупатель) направил соответствующее уведомление, но не ранее: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даты, когда были допущены в эксплуатацию приборы учета, позволяющие измерять объемы потребления электрической энергии по зонам суток (переход ко второй ценовой категории);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даты, когда были допущены в эксплуатацию приборы учета, позволяющие измерять почасовые объемы потребления электрической энергии (переход к третьей - шестой ценовым категориям).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если в качестве потребителя по договору купли-продажи (поставки) электрической энергии (мощности) выступает сетевая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положениями настоящего пункта, предусмотренными для потребителей с максимальной мощностью менее 670 кВт.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109. Оплата электрической энергии (мощности) потребителями (покупателями), не выбравшими для расчетов с гарантирующим поставщиком (энергосбытовой, энергоснабжающей организацией) пятую и шестую ценовые категории, производится исходя из фактических объемов потребления за соответствующий расчетный период.</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Потребитель (покупатель), приобретающий или имеющий намерение приобретать электрическую энергию в отношении энергопринимающих устройств, расположенных на территориях субъектов Российской Федерации, объединенных в неценовые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вправе потребовать, а гарантирующий поставщик (энергосбытовая, энергоснабжающая организация) 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 которое должно включать:</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обязанность потребителя (покупателя) сообщать гарантирующему поставщику (энергосбытовой, энергоснабжающей организации) детализацию планового объема потребления электрической энергии по часам суток за 2 дня до суток, на которые осуществляется планирование потребления, до 9 часов этого дня (по времени, по которому определяются сроки совершения действий в соответствии с </w:t>
      </w:r>
      <w:hyperlink r:id="rId440" w:history="1">
        <w:r>
          <w:rPr>
            <w:rFonts w:ascii="Arial" w:hAnsi="Arial" w:cs="Arial"/>
            <w:color w:val="0000FF"/>
            <w:sz w:val="20"/>
            <w:szCs w:val="20"/>
          </w:rPr>
          <w:t>Правилами</w:t>
        </w:r>
      </w:hyperlink>
      <w:r>
        <w:rPr>
          <w:rFonts w:ascii="Arial" w:hAnsi="Arial" w:cs="Arial"/>
          <w:sz w:val="20"/>
          <w:szCs w:val="20"/>
        </w:rPr>
        <w:t xml:space="preserve"> оптового рынка на территориях соответствующих субъектов Российской Федерации, объединенных в неценовые зоны оптового рынка, на которых находятся точки поставки соответствующего потребителя) с правом скорректировать сообщенные плановые объемы потребления электрической энергии по всем или некоторым часам суток путем их уменьшения за 1 день до суток, на которые осуществляется планирование потребления, до 9 часов этого дня;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обязанность потребителя (покупателя) оплачивать стоимость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о которых сообщил потребитель, и в объеме превышений плановых почасовых объемов потребления электрической энергии над соответствующими фактическими почасовыми объемами покупки электрической энергии в случаях и в порядке, которые установлены настоящим документом.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110. Значения конечных регулируемых цен и их составляющих для соответствующих ценовых категорий публикуются гарантирующим поставщиком (энергосбытовой, энергоснабжающей организацией) на его официальном сайте в сети "Интернет" по форме согласно </w:t>
      </w:r>
      <w:hyperlink w:anchor="Par2701" w:history="1">
        <w:r>
          <w:rPr>
            <w:rFonts w:ascii="Arial" w:hAnsi="Arial" w:cs="Arial"/>
            <w:color w:val="0000FF"/>
            <w:sz w:val="20"/>
            <w:szCs w:val="20"/>
          </w:rPr>
          <w:t>приложению N 2(1)</w:t>
        </w:r>
      </w:hyperlink>
      <w:r>
        <w:rPr>
          <w:rFonts w:ascii="Arial" w:hAnsi="Arial" w:cs="Arial"/>
          <w:sz w:val="20"/>
          <w:szCs w:val="20"/>
        </w:rPr>
        <w:t xml:space="preserve"> не позднее чем через 17 дней после окончания расчетного периода.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Конечные регулируемые цены, а также составляющие их расчета доводятся до сведения потребителей (покупателей) в счетах на оплату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Гарантирующий поставщик (энергосбытовая, энергоснабжающая организация) направляет коммерческому оператору оптового рынка в срок, не превышающий 18 дней со дня окончания расчетного </w:t>
      </w:r>
      <w:r>
        <w:rPr>
          <w:rFonts w:ascii="Arial" w:hAnsi="Arial" w:cs="Arial"/>
          <w:sz w:val="20"/>
          <w:szCs w:val="20"/>
        </w:rPr>
        <w:lastRenderedPageBreak/>
        <w:t>периода, в порядке, установленном договором о присоединении к торговой системе оптового рынка, заключенным гарантирующим поставщиком (энергосбытовой, энергоснабжающей организацией), являющимся участником оптового рынка, или в порядке, установленном в соглашении об информационном обмене, заключенном гарантирующим поставщиком (энергосбытовой, энергоснабжающей организацией), не являющимся участником оптового рынка, следующую информацию: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значение средневзвешенной регулируемой цены электрической энергии (мощности), используемой для расчета регулируемой цены для первой ценовой категории;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значения составляющих расчета средневзвешенной регулируемой цены электрической энергии (мощности) по первой ценовой категории, указанных в </w:t>
      </w:r>
      <w:hyperlink w:anchor="Par2057" w:history="1">
        <w:r>
          <w:rPr>
            <w:rFonts w:ascii="Arial" w:hAnsi="Arial" w:cs="Arial"/>
            <w:color w:val="0000FF"/>
            <w:sz w:val="20"/>
            <w:szCs w:val="20"/>
          </w:rPr>
          <w:t>разделе XII</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информация о данных, которые относятся к предыдущим расчетным периодам и учитываются в случаях, предусмотренных настоящим документом, при определении средневзвешенной регулируемой цены на электрическую энергию (мощность) в отношении потребителей (покупателей), выбравших для расчетов первую ценовую категорию, а также о причинах, вызвавших необходимость такого учета;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значения конечных регулируемых цен для первой - шестой ценовых категорий;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значения составляющих конечных регулируемых цен электрической энергии (мощности), использованных гарантирующим поставщиком (энергосбытовой, энергоснабжающей организацией) при расчете конечных регулируемых цен за расчетный период для первой - шестой ценовых категорий, указанных в </w:t>
      </w:r>
      <w:hyperlink w:anchor="Par2057" w:history="1">
        <w:r>
          <w:rPr>
            <w:rFonts w:ascii="Arial" w:hAnsi="Arial" w:cs="Arial"/>
            <w:color w:val="0000FF"/>
            <w:sz w:val="20"/>
            <w:szCs w:val="20"/>
          </w:rPr>
          <w:t>разделе XII</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111. Определение объема покупки электрической энергии (мощности), поставленной гарантирующим поставщиком (энергосбытовой, энергоснабжающей организацией) в точках поставки по договору энергоснабжения (купли-продажи (поставки) электрической энергии (мощности)) за расчетный период, осуществляется на основании данных об объемах потребления электрической энергии (мощности), определенных в соответствии с </w:t>
      </w:r>
      <w:hyperlink w:anchor="Par1220" w:history="1">
        <w:r>
          <w:rPr>
            <w:rFonts w:ascii="Arial" w:hAnsi="Arial" w:cs="Arial"/>
            <w:color w:val="0000FF"/>
            <w:sz w:val="20"/>
            <w:szCs w:val="20"/>
          </w:rPr>
          <w:t>разделом X</w:t>
        </w:r>
      </w:hyperlink>
      <w:r>
        <w:rPr>
          <w:rFonts w:ascii="Arial" w:hAnsi="Arial" w:cs="Arial"/>
          <w:sz w:val="20"/>
          <w:szCs w:val="20"/>
        </w:rPr>
        <w:t xml:space="preserve"> настоящего документа с использованием приборов учета и (или) расчетных способов.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Объем мощности, к которому в соответствии с </w:t>
      </w:r>
      <w:hyperlink w:anchor="Par2057" w:history="1">
        <w:r>
          <w:rPr>
            <w:rFonts w:ascii="Arial" w:hAnsi="Arial" w:cs="Arial"/>
            <w:color w:val="0000FF"/>
            <w:sz w:val="20"/>
            <w:szCs w:val="20"/>
          </w:rPr>
          <w:t>разделом XII</w:t>
        </w:r>
      </w:hyperlink>
      <w:r>
        <w:rPr>
          <w:rFonts w:ascii="Arial" w:hAnsi="Arial" w:cs="Arial"/>
          <w:sz w:val="20"/>
          <w:szCs w:val="20"/>
        </w:rPr>
        <w:t xml:space="preserve"> настоящего документа применяется ставка на мощность конечных регулируемых цен для третьей - шестой ценовых категорий, равен величине мощности, оплачиваемой на розничном рынке потребителем (покупателем) гарантирующему поставщику (энергосбытовой, энергоснабжающей организации), определяемой как среднее арифметическое значение из почасовых объемов потребления электрической энергии потребителем (покупателем) в часы, определенные коммерческим оператором оптового рынка в соответствии с </w:t>
      </w:r>
      <w:hyperlink r:id="rId441" w:history="1">
        <w:r>
          <w:rPr>
            <w:rFonts w:ascii="Arial" w:hAnsi="Arial" w:cs="Arial"/>
            <w:color w:val="0000FF"/>
            <w:sz w:val="20"/>
            <w:szCs w:val="20"/>
          </w:rPr>
          <w:t>Правилами</w:t>
        </w:r>
      </w:hyperlink>
      <w:r>
        <w:rPr>
          <w:rFonts w:ascii="Arial" w:hAnsi="Arial" w:cs="Arial"/>
          <w:sz w:val="20"/>
          <w:szCs w:val="20"/>
        </w:rPr>
        <w:t xml:space="preserve"> оптового рынка из установленных системным оператором плановых часов пиковой нагрузки в рабочие дни расчетного периода для цели определения объема фактического пикового потребления гарантирующего поставщика (энергосбытовой, энергоснабжающей организации), обслуживающего этого потребителя (покупателя).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Организация коммерческой инфраструктуры оптового рынка в отношении каждого гарантирующего поставщика (энергосбытовой, энергоснабжающей организации) - участника оптового рынка по соответствующей зоне деятельности в соответствии с настоящим пунктом и </w:t>
      </w:r>
      <w:hyperlink r:id="rId442" w:history="1">
        <w:r>
          <w:rPr>
            <w:rFonts w:ascii="Arial" w:hAnsi="Arial" w:cs="Arial"/>
            <w:color w:val="0000FF"/>
            <w:sz w:val="20"/>
            <w:szCs w:val="20"/>
          </w:rPr>
          <w:t>Правилами</w:t>
        </w:r>
      </w:hyperlink>
      <w:r>
        <w:rPr>
          <w:rFonts w:ascii="Arial" w:hAnsi="Arial" w:cs="Arial"/>
          <w:sz w:val="20"/>
          <w:szCs w:val="20"/>
        </w:rPr>
        <w:t xml:space="preserve"> оптового рынка определяет и публикует не позднее 14 дней по окончании расчетного периода на своем официальном сайте в сети "Интернет" для каждого рабочего дня расчетного периода час для расчета величины мощности, оплачиваемой потребителем (покупателем) на розничном рынке.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Часы для расчета величины мощности, оплачиваемой потребителем (покупателем) на розничном рынке за расчетный период, опубликованные организацией коммерческой инфраструктуры оптового рынка в соответствии с настоящим пунктом, публикуются гарантирующим поставщиком (энергосбытовой, энергоснабжающей организацией) не позднее 16 дней по окончании расчетного периода на своем официальном сайте в сети "Интернет".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Объем мощности, к которому в соответствии с </w:t>
      </w:r>
      <w:hyperlink w:anchor="Par2057" w:history="1">
        <w:r>
          <w:rPr>
            <w:rFonts w:ascii="Arial" w:hAnsi="Arial" w:cs="Arial"/>
            <w:color w:val="0000FF"/>
            <w:sz w:val="20"/>
            <w:szCs w:val="20"/>
          </w:rPr>
          <w:t>разделом XII</w:t>
        </w:r>
      </w:hyperlink>
      <w:r>
        <w:rPr>
          <w:rFonts w:ascii="Arial" w:hAnsi="Arial" w:cs="Arial"/>
          <w:sz w:val="20"/>
          <w:szCs w:val="20"/>
        </w:rPr>
        <w:t xml:space="preserve"> настоящего документа применяется ставка тарифа на услуги по передаче электрической энергии, отражающая величину расходов на содержание электрических сетей, в составе конечных регулируемых цен для четвертой и шестой ценовых категорий, равен величине мощности, используемой для определения размера обязательств потребителя (покупателя) по оплате услуг по передаче электрической энергии в соответствии с </w:t>
      </w:r>
      <w:hyperlink r:id="rId443" w:history="1">
        <w:r>
          <w:rPr>
            <w:rFonts w:ascii="Arial" w:hAnsi="Arial" w:cs="Arial"/>
            <w:color w:val="0000FF"/>
            <w:sz w:val="20"/>
            <w:szCs w:val="20"/>
          </w:rPr>
          <w:t>пунктом 15(1)</w:t>
        </w:r>
      </w:hyperlink>
      <w:r>
        <w:rPr>
          <w:rFonts w:ascii="Arial" w:hAnsi="Arial" w:cs="Arial"/>
          <w:sz w:val="20"/>
          <w:szCs w:val="20"/>
        </w:rPr>
        <w:t xml:space="preserve"> и </w:t>
      </w:r>
      <w:hyperlink r:id="rId444" w:history="1">
        <w:r>
          <w:rPr>
            <w:rFonts w:ascii="Arial" w:hAnsi="Arial" w:cs="Arial"/>
            <w:color w:val="0000FF"/>
            <w:sz w:val="20"/>
            <w:szCs w:val="20"/>
          </w:rPr>
          <w:t>разделом X</w:t>
        </w:r>
      </w:hyperlink>
      <w:r>
        <w:rPr>
          <w:rFonts w:ascii="Arial" w:hAnsi="Arial" w:cs="Arial"/>
          <w:sz w:val="20"/>
          <w:szCs w:val="20"/>
        </w:rPr>
        <w:t xml:space="preserve"> Правил недискриминационного доступа к услугам по передаче электрической энергии и оказания этих услуг.</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(в ред. </w:t>
      </w:r>
      <w:hyperlink r:id="rId445"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30.04.2020 N 628)</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Почасовые объемы потребления электрической энергии для расчета обязательств потребителей (покупателей), осуществляющих расчеты по третьей - шестой ценовым категориям,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осуществляющих расчеты по третьей - шестой ценовым категориям,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иных случаях, указанных в </w:t>
      </w:r>
      <w:hyperlink w:anchor="Par1220" w:history="1">
        <w:r>
          <w:rPr>
            <w:rFonts w:ascii="Arial" w:hAnsi="Arial" w:cs="Arial"/>
            <w:color w:val="0000FF"/>
            <w:sz w:val="20"/>
            <w:szCs w:val="20"/>
          </w:rPr>
          <w:t>разделе X</w:t>
        </w:r>
      </w:hyperlink>
      <w:r>
        <w:rPr>
          <w:rFonts w:ascii="Arial" w:hAnsi="Arial" w:cs="Arial"/>
          <w:sz w:val="20"/>
          <w:szCs w:val="20"/>
        </w:rPr>
        <w:t xml:space="preserve"> настоящего документа, определение объемов потребления электрической энергии осуществляется в порядке, предусмотренном </w:t>
      </w:r>
      <w:hyperlink w:anchor="Par1220" w:history="1">
        <w:r>
          <w:rPr>
            <w:rFonts w:ascii="Arial" w:hAnsi="Arial" w:cs="Arial"/>
            <w:color w:val="0000FF"/>
            <w:sz w:val="20"/>
            <w:szCs w:val="20"/>
          </w:rPr>
          <w:t>разделом X</w:t>
        </w:r>
      </w:hyperlink>
      <w:r>
        <w:rPr>
          <w:rFonts w:ascii="Arial" w:hAnsi="Arial" w:cs="Arial"/>
          <w:sz w:val="20"/>
          <w:szCs w:val="20"/>
        </w:rPr>
        <w:t xml:space="preserve"> настоящего документа, с применением расчетных способов.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112. В случае если гарантирующий поставщик приобретает электрическую энергию (мощность) у иных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то этот гарантирующий поставщик, покупающий электрическую энергию (мощность), определяет значения конечных регулируемых цен для первой ценовой категории в соответствии с </w:t>
      </w:r>
      <w:hyperlink w:anchor="Par2057" w:history="1">
        <w:r>
          <w:rPr>
            <w:rFonts w:ascii="Arial" w:hAnsi="Arial" w:cs="Arial"/>
            <w:color w:val="0000FF"/>
            <w:sz w:val="20"/>
            <w:szCs w:val="20"/>
          </w:rPr>
          <w:t>разделом XII</w:t>
        </w:r>
      </w:hyperlink>
      <w:r>
        <w:rPr>
          <w:rFonts w:ascii="Arial" w:hAnsi="Arial" w:cs="Arial"/>
          <w:sz w:val="20"/>
          <w:szCs w:val="20"/>
        </w:rPr>
        <w:t xml:space="preserve"> настоящего документа при условии применения вместо средневзвешенной регулируемой цены на электрическую энергию (мощность), рассчитываемой в соответствии с </w:t>
      </w:r>
      <w:hyperlink w:anchor="Par2057" w:history="1">
        <w:r>
          <w:rPr>
            <w:rFonts w:ascii="Arial" w:hAnsi="Arial" w:cs="Arial"/>
            <w:color w:val="0000FF"/>
            <w:sz w:val="20"/>
            <w:szCs w:val="20"/>
          </w:rPr>
          <w:t>разделом XII</w:t>
        </w:r>
      </w:hyperlink>
      <w:r>
        <w:rPr>
          <w:rFonts w:ascii="Arial" w:hAnsi="Arial" w:cs="Arial"/>
          <w:sz w:val="20"/>
          <w:szCs w:val="20"/>
        </w:rPr>
        <w:t xml:space="preserve"> настоящего документа, средневзвешенной регулируемой цены на электрическую энергию (мощность), покупаемую у указанных гарантирующих поставщиков (энергосбытовых, энергоснабжающих организаций), продающих электрическую энергию (мощность). Эта цена определяется как отношение следующих величин:</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разница между стоимостью покупки электрической энергии (мощности) гарантирующим поставщиком, покупающим электрическую энергию (мощность), у указанных гарантирующих поставщиков (энергосбытовых, энергоснабжающих организаций), продающих электрическую энергию (мощность), за соответствующий расчетный период и суммой стоимости объемов электрической энергии (мощности) тех потребителей гарантирующего поставщика, покупающего электрическую энергию (мощность), к которым применяются вторая - шестая ценовые категории, рассчитанной исходя из конечных регулируемых цен, определяемых гарантирующими поставщиками (энергосбытовыми, энергоснабжающими организациями), продающими электрическую энергию (мощность), и стоимости объемов электрической энергии (мощности) населения и приравненных к нему категорий потребителей гарантирующего поставщика, покупающего электрическую энергию (мощность);</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объемы электрической энергии (мощности) потребителей гарантирующего поставщика, покупающего электрическую энергию (мощность), в отношении которых этим гарантирующим поставщиком применяется первая ценовая категория.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Значения конечных регулируемых цен для остальных ценовых категорий этот гарантирующий поставщик, покупающий электрическую энергию (мощность), рассчитывает в соответствии с </w:t>
      </w:r>
      <w:hyperlink w:anchor="Par2057" w:history="1">
        <w:r>
          <w:rPr>
            <w:rFonts w:ascii="Arial" w:hAnsi="Arial" w:cs="Arial"/>
            <w:color w:val="0000FF"/>
            <w:sz w:val="20"/>
            <w:szCs w:val="20"/>
          </w:rPr>
          <w:t>разделом XII</w:t>
        </w:r>
      </w:hyperlink>
      <w:r>
        <w:rPr>
          <w:rFonts w:ascii="Arial" w:hAnsi="Arial" w:cs="Arial"/>
          <w:sz w:val="20"/>
          <w:szCs w:val="20"/>
        </w:rPr>
        <w:t xml:space="preserve"> настоящего документа с использованием составляющих конечных регулируемых цен, за исключением сбытовой надбавки, определяемых для своих потребителей (покупателей) гарантирующими поставщиками (энергосбытовыми, энергоснабжающими организациями), продающими электрическую энергию (мощность) для соответствующих ценовых категорий.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если энергосбытовая, энергоснабжающая организация приобретает электрическую энергию (мощность)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то такая энергосбытовая, энергоснабжающая организация не может применять в расчетах с гарантирующим поставщиком (энергосбытовой, энергоснабжающей организацией) - участником оптового рынка, функционирующим на территории того же субъекта Российской Федерации, ценовую категорию, отличную от той, которая применялась в расчетах с потребителями, в интересах которых такой энергосбытовой, энергоснабжающей организацией осуществляется покупка электрической энергии (мощности) у указанных гарантирующих поставщиков (энергосбытовых, энергоснабжающих организаций) - участников оптового рынка.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Гарантирующий поставщик (энергосбытовая, энергоснабжающая организация), покупающий электрическую энергию (мощность), публикует значения конечных регулируемых цен для ценовых категорий и их составляющие на своем официальном сайте в сети "Интернет" по форме, предусмотренной </w:t>
      </w:r>
      <w:hyperlink w:anchor="Par2701" w:history="1">
        <w:r>
          <w:rPr>
            <w:rFonts w:ascii="Arial" w:hAnsi="Arial" w:cs="Arial"/>
            <w:color w:val="0000FF"/>
            <w:sz w:val="20"/>
            <w:szCs w:val="20"/>
          </w:rPr>
          <w:t>приложением N 2(1)</w:t>
        </w:r>
      </w:hyperlink>
      <w:r>
        <w:rPr>
          <w:rFonts w:ascii="Arial" w:hAnsi="Arial" w:cs="Arial"/>
          <w:sz w:val="20"/>
          <w:szCs w:val="20"/>
        </w:rPr>
        <w:t xml:space="preserve"> к настоящему документу, не позднее 18 дней по окончании расчетного периода.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27" w:name="Par1031"/>
      <w:bookmarkEnd w:id="127"/>
      <w:r>
        <w:rPr>
          <w:rFonts w:ascii="Arial" w:hAnsi="Arial" w:cs="Arial"/>
          <w:sz w:val="20"/>
          <w:szCs w:val="20"/>
        </w:rPr>
        <w:lastRenderedPageBreak/>
        <w:t>113. Производители электрической энергии (мощности), функционирующие на территориях субъектов Российской Федерации, объединенных в неценовые зоны оптового рынка, на которых распространяется требование законодательства Российской Федерации об электроэнергетике в части реализации производимой электрической энергии (мощности) только на оптовом рынке, до получения статуса субъекта оптового рынка участвуют в отношениях, связанных с куплей-продажей электрической энергии (мощности) на основании договоров с гарантирующим поставщиком.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Производители электрической энергии (мощности) на розничных рынках, функционирующие на территориях субъектов Российской Федерации, объединенных в неценовые зоны оптового рынка, за исключением случая, предусмотренного </w:t>
      </w:r>
      <w:hyperlink w:anchor="Par612" w:history="1">
        <w:r>
          <w:rPr>
            <w:rFonts w:ascii="Arial" w:hAnsi="Arial" w:cs="Arial"/>
            <w:color w:val="0000FF"/>
            <w:sz w:val="20"/>
            <w:szCs w:val="20"/>
          </w:rPr>
          <w:t>пунктом 65(1)</w:t>
        </w:r>
      </w:hyperlink>
      <w:r>
        <w:rPr>
          <w:rFonts w:ascii="Arial" w:hAnsi="Arial" w:cs="Arial"/>
          <w:sz w:val="20"/>
          <w:szCs w:val="20"/>
        </w:rPr>
        <w:t xml:space="preserve"> настоящего документа, осуществляют продажу электрической энергии (мощности) гарантирующему поставщику, в границах зоны деятельности которого расположены точки поставки, в которых исполняются обязательства производителя электрической энергии (мощности) по поставке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Существенными условиями договора купли-продажи (поставки) электрической энергии (мощности) гарантирующего поставщика с производителем электрической энергии (мощности) являются: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существенные условия соответствующего договора, указанные в </w:t>
      </w:r>
      <w:hyperlink w:anchor="Par429" w:history="1">
        <w:r>
          <w:rPr>
            <w:rFonts w:ascii="Arial" w:hAnsi="Arial" w:cs="Arial"/>
            <w:color w:val="0000FF"/>
            <w:sz w:val="20"/>
            <w:szCs w:val="20"/>
          </w:rPr>
          <w:t>абзацах втором</w:t>
        </w:r>
      </w:hyperlink>
      <w:r>
        <w:rPr>
          <w:rFonts w:ascii="Arial" w:hAnsi="Arial" w:cs="Arial"/>
          <w:sz w:val="20"/>
          <w:szCs w:val="20"/>
        </w:rPr>
        <w:t xml:space="preserve">, </w:t>
      </w:r>
      <w:hyperlink w:anchor="Par430" w:history="1">
        <w:r>
          <w:rPr>
            <w:rFonts w:ascii="Arial" w:hAnsi="Arial" w:cs="Arial"/>
            <w:color w:val="0000FF"/>
            <w:sz w:val="20"/>
            <w:szCs w:val="20"/>
          </w:rPr>
          <w:t>третьем</w:t>
        </w:r>
      </w:hyperlink>
      <w:r>
        <w:rPr>
          <w:rFonts w:ascii="Arial" w:hAnsi="Arial" w:cs="Arial"/>
          <w:sz w:val="20"/>
          <w:szCs w:val="20"/>
        </w:rPr>
        <w:t xml:space="preserve">, </w:t>
      </w:r>
      <w:hyperlink w:anchor="Par433" w:history="1">
        <w:r>
          <w:rPr>
            <w:rFonts w:ascii="Arial" w:hAnsi="Arial" w:cs="Arial"/>
            <w:color w:val="0000FF"/>
            <w:sz w:val="20"/>
            <w:szCs w:val="20"/>
          </w:rPr>
          <w:t>пятом</w:t>
        </w:r>
      </w:hyperlink>
      <w:r>
        <w:rPr>
          <w:rFonts w:ascii="Arial" w:hAnsi="Arial" w:cs="Arial"/>
          <w:sz w:val="20"/>
          <w:szCs w:val="20"/>
        </w:rPr>
        <w:t xml:space="preserve">, </w:t>
      </w:r>
      <w:hyperlink w:anchor="Par434" w:history="1">
        <w:r>
          <w:rPr>
            <w:rFonts w:ascii="Arial" w:hAnsi="Arial" w:cs="Arial"/>
            <w:color w:val="0000FF"/>
            <w:sz w:val="20"/>
            <w:szCs w:val="20"/>
          </w:rPr>
          <w:t>шестом</w:t>
        </w:r>
      </w:hyperlink>
      <w:r>
        <w:rPr>
          <w:rFonts w:ascii="Arial" w:hAnsi="Arial" w:cs="Arial"/>
          <w:sz w:val="20"/>
          <w:szCs w:val="20"/>
        </w:rPr>
        <w:t xml:space="preserve">, </w:t>
      </w:r>
      <w:hyperlink w:anchor="Par439" w:history="1">
        <w:r>
          <w:rPr>
            <w:rFonts w:ascii="Arial" w:hAnsi="Arial" w:cs="Arial"/>
            <w:color w:val="0000FF"/>
            <w:sz w:val="20"/>
            <w:szCs w:val="20"/>
          </w:rPr>
          <w:t>десятом</w:t>
        </w:r>
      </w:hyperlink>
      <w:r>
        <w:rPr>
          <w:rFonts w:ascii="Arial" w:hAnsi="Arial" w:cs="Arial"/>
          <w:sz w:val="20"/>
          <w:szCs w:val="20"/>
        </w:rPr>
        <w:t xml:space="preserve"> и </w:t>
      </w:r>
      <w:hyperlink w:anchor="Par445" w:history="1">
        <w:r>
          <w:rPr>
            <w:rFonts w:ascii="Arial" w:hAnsi="Arial" w:cs="Arial"/>
            <w:color w:val="0000FF"/>
            <w:sz w:val="20"/>
            <w:szCs w:val="20"/>
          </w:rPr>
          <w:t>пятнадцатом пункта 40</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обеспечение производителем электрической энергии (мощности) наличия и надлежащего функционирования приборов учета, установленных в отношении объекта по производству электрической энергии (мощности), относительно которых заключен договор, позволяющих измерять почасовые объемы производства электрической энергии, перечень таких приборов учета, а также обязанность производителя электрической энергии (мощности) передавать показания таких приборов учета гарантирующему поставщику в сроки, указанные в </w:t>
      </w:r>
      <w:hyperlink w:anchor="Par1220" w:history="1">
        <w:r>
          <w:rPr>
            <w:rFonts w:ascii="Arial" w:hAnsi="Arial" w:cs="Arial"/>
            <w:color w:val="0000FF"/>
            <w:sz w:val="20"/>
            <w:szCs w:val="20"/>
          </w:rPr>
          <w:t>разделе X</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446"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18.04.2020 N 554)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соответствующий настоящему документу порядок передачи таким производителем почасовых договорных объемов продажи электрической энергии (мощности) по договору;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соответствующий настоящему документу порядок определения объема производства электрической энергии (мощности) за расчетный период;</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соответствующий настоящему документу порядок определения стоимости поставленной по договору за расчетный период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иные установленные настоящим документом условия, обязательные при заключении договора с производителем электрической энергии (мощности) на розничных рынках, функционирующих на территориях субъектов Российской Федерации, объединенных в неценовые зоны оптового рынка.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Стоимость поставленной по указанному договору за расчетный период электрической энергии (мощности) </w:t>
      </w:r>
      <w:r>
        <w:rPr>
          <w:rFonts w:ascii="Arial" w:hAnsi="Arial" w:cs="Arial"/>
          <w:noProof/>
          <w:position w:val="-9"/>
          <w:sz w:val="20"/>
          <w:szCs w:val="20"/>
          <w:lang w:eastAsia="ru-RU"/>
        </w:rPr>
        <w:drawing>
          <wp:inline distT="0" distB="0" distL="0" distR="0">
            <wp:extent cx="590550" cy="247650"/>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rPr>
          <w:rFonts w:ascii="Arial" w:hAnsi="Arial" w:cs="Arial"/>
          <w:sz w:val="20"/>
          <w:szCs w:val="20"/>
        </w:rPr>
        <w:t xml:space="preserve"> определяется по формуле (рублей):</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14"/>
          <w:sz w:val="20"/>
          <w:szCs w:val="20"/>
          <w:lang w:eastAsia="ru-RU"/>
        </w:rPr>
        <w:drawing>
          <wp:inline distT="0" distB="0" distL="0" distR="0">
            <wp:extent cx="3448050" cy="304800"/>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3448050" cy="30480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81000" cy="257175"/>
            <wp:effectExtent l="0" t="0" r="0" b="9525"/>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Pr>
          <w:rFonts w:ascii="Arial" w:hAnsi="Arial" w:cs="Arial"/>
          <w:sz w:val="20"/>
          <w:szCs w:val="20"/>
        </w:rPr>
        <w:t xml:space="preserve"> - договорный объем производства электрической энергии в час (h) расчетного периода (m), заявленный производителем электрической энергии (мощности) на розничном рынке (r) гарантирующему поставщику в срок не позднее 2 суток до начала фактической поставки (если договором не установлен иной срок уведомления) (МВт·ч);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200025" cy="238125"/>
            <wp:effectExtent l="0" t="0" r="9525" b="9525"/>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Pr>
          <w:rFonts w:ascii="Arial" w:hAnsi="Arial" w:cs="Arial"/>
          <w:sz w:val="20"/>
          <w:szCs w:val="20"/>
        </w:rPr>
        <w:t xml:space="preserve"> - ставка платы за электрическую энергию двухставочного тарифа, установленного органом исполнительной власти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lastRenderedPageBreak/>
        <w:drawing>
          <wp:inline distT="0" distB="0" distL="0" distR="0">
            <wp:extent cx="381000" cy="257175"/>
            <wp:effectExtent l="0" t="0" r="0" b="9525"/>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Pr>
          <w:rFonts w:ascii="Arial" w:hAnsi="Arial" w:cs="Arial"/>
          <w:sz w:val="20"/>
          <w:szCs w:val="20"/>
        </w:rPr>
        <w:t xml:space="preserve"> - 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(рублей);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04800" cy="257175"/>
            <wp:effectExtent l="0" t="0" r="0" b="9525"/>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Pr>
          <w:rFonts w:ascii="Arial" w:hAnsi="Arial" w:cs="Arial"/>
          <w:sz w:val="20"/>
          <w:szCs w:val="20"/>
        </w:rPr>
        <w:t xml:space="preserve"> - объем мощности за расчетный период (m) производителя электрической энергии (мощности) на розничном рынке (r), учтенный в прогнозном балансе на период регулирования, по договорам купли-продажи (поставки) электрической энергии (мощности) с соответствующим гарантирующим поставщиком (МВт);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371475" cy="238125"/>
            <wp:effectExtent l="0" t="0" r="9525" b="9525"/>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Pr>
          <w:rFonts w:ascii="Arial" w:hAnsi="Arial" w:cs="Arial"/>
          <w:sz w:val="20"/>
          <w:szCs w:val="20"/>
        </w:rPr>
        <w:t xml:space="preserve"> - ставка платы за электрическую мощность двухставочного тарифа, установленного органом исполнительной власти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w:t>
      </w:r>
      <w:r>
        <w:rPr>
          <w:rFonts w:ascii="Arial" w:hAnsi="Arial" w:cs="Arial"/>
          <w:noProof/>
          <w:position w:val="-9"/>
          <w:sz w:val="20"/>
          <w:szCs w:val="20"/>
          <w:lang w:eastAsia="ru-RU"/>
        </w:rPr>
        <w:drawing>
          <wp:inline distT="0" distB="0" distL="0" distR="0">
            <wp:extent cx="495300" cy="247650"/>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Pr>
          <w:rFonts w:ascii="Arial" w:hAnsi="Arial" w:cs="Arial"/>
          <w:sz w:val="20"/>
          <w:szCs w:val="20"/>
        </w:rPr>
        <w:t xml:space="preserve"> определяется гарантирующим поставщиком по формуле (рублей):</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60"/>
          <w:sz w:val="20"/>
          <w:szCs w:val="20"/>
          <w:lang w:eastAsia="ru-RU"/>
        </w:rPr>
        <w:drawing>
          <wp:inline distT="0" distB="0" distL="0" distR="0">
            <wp:extent cx="4857750" cy="895350"/>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4857750" cy="89535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428625" cy="257175"/>
            <wp:effectExtent l="0" t="0" r="9525" b="9525"/>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Pr>
          <w:rFonts w:ascii="Arial" w:hAnsi="Arial" w:cs="Arial"/>
          <w:sz w:val="20"/>
          <w:szCs w:val="20"/>
        </w:rPr>
        <w:t xml:space="preserve"> - фактический объем производства электрической энергии производителя электрической энергии (мощности) на розничном рынке (r) в час (h) расчетного периода (m) (МВт·ч);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81000" cy="257175"/>
            <wp:effectExtent l="0" t="0" r="0" b="9525"/>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Pr>
          <w:rFonts w:ascii="Arial" w:hAnsi="Arial" w:cs="Arial"/>
          <w:sz w:val="20"/>
          <w:szCs w:val="20"/>
        </w:rPr>
        <w:t xml:space="preserve"> - договорный объем производства электрической энергии в час (h) расчетного периода (m), заявленный производителем электрической энергии (мощности) на розничном рынке (r) гарантирующему поставщику в срок не позднее 2 суток до начала фактической поставки (если договором не установлен иной срок уведомления) (МВт·ч);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200025" cy="238125"/>
            <wp:effectExtent l="0" t="0" r="9525" b="9525"/>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Pr>
          <w:rFonts w:ascii="Arial" w:hAnsi="Arial" w:cs="Arial"/>
          <w:sz w:val="20"/>
          <w:szCs w:val="20"/>
        </w:rPr>
        <w:t xml:space="preserve"> - ставка платы за электрическую энергию двухставочного тарифа, установленного органом исполнительной власти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552450" cy="238125"/>
            <wp:effectExtent l="0" t="0" r="0" b="9525"/>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552450" cy="238125"/>
                    </a:xfrm>
                    <a:prstGeom prst="rect">
                      <a:avLst/>
                    </a:prstGeom>
                    <a:noFill/>
                    <a:ln>
                      <a:noFill/>
                    </a:ln>
                  </pic:spPr>
                </pic:pic>
              </a:graphicData>
            </a:graphic>
          </wp:inline>
        </w:drawing>
      </w:r>
      <w:r>
        <w:rPr>
          <w:rFonts w:ascii="Arial" w:hAnsi="Arial" w:cs="Arial"/>
          <w:sz w:val="20"/>
          <w:szCs w:val="20"/>
        </w:rPr>
        <w:t xml:space="preserve"> - коэффициент отклонения фактического почасового объема производства электрической энергии от договорного почасового объема в сторону увеличения фактического объема над договорным, равный 1, в случае если указанное отклонение обусловлено командой субъекта оперативно-диспетчерского управления, и равный нулю в иных случаях;</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514350" cy="238125"/>
            <wp:effectExtent l="0" t="0" r="0" b="9525"/>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514350" cy="238125"/>
                    </a:xfrm>
                    <a:prstGeom prst="rect">
                      <a:avLst/>
                    </a:prstGeom>
                    <a:noFill/>
                    <a:ln>
                      <a:noFill/>
                    </a:ln>
                  </pic:spPr>
                </pic:pic>
              </a:graphicData>
            </a:graphic>
          </wp:inline>
        </w:drawing>
      </w:r>
      <w:r>
        <w:rPr>
          <w:rFonts w:ascii="Arial" w:hAnsi="Arial" w:cs="Arial"/>
          <w:sz w:val="20"/>
          <w:szCs w:val="20"/>
        </w:rPr>
        <w:t xml:space="preserve"> - коэффициент отклонения фактического почасового объема производства электрической энергии от договорного почасового объема в сторону уменьшения фактического объема относительно договорного, равный 1, в случае если указанное отклонение обусловлено командой субъекта оперативно-диспетчерского управления, и равный 1,5 в иных случаях.</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bookmarkStart w:id="128" w:name="Par1062"/>
      <w:bookmarkEnd w:id="128"/>
      <w:r>
        <w:rPr>
          <w:rFonts w:ascii="Arial" w:eastAsiaTheme="minorHAnsi" w:hAnsi="Arial" w:cs="Arial"/>
          <w:color w:val="auto"/>
          <w:sz w:val="20"/>
          <w:szCs w:val="20"/>
        </w:rPr>
        <w:t>VIII. Основные положения функционирования розничных рынков</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в технологически изолированных территориальных</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электроэнергетических системах и на территориях,</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технологически не связанных с Единой энергетической</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системой России и технологически изолированными</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lastRenderedPageBreak/>
        <w:t>территориальными электроэнергетическими системами</w:t>
      </w: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(в ред. </w:t>
      </w:r>
      <w:hyperlink r:id="rId461"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23.01.2015 N 47)</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114. Функционирование розничных рынков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осуществляется в соответствии с </w:t>
      </w:r>
      <w:hyperlink w:anchor="Par104" w:history="1">
        <w:r>
          <w:rPr>
            <w:rFonts w:ascii="Arial" w:hAnsi="Arial" w:cs="Arial"/>
            <w:color w:val="0000FF"/>
            <w:sz w:val="20"/>
            <w:szCs w:val="20"/>
          </w:rPr>
          <w:t>разделами I</w:t>
        </w:r>
      </w:hyperlink>
      <w:r>
        <w:rPr>
          <w:rFonts w:ascii="Arial" w:hAnsi="Arial" w:cs="Arial"/>
          <w:sz w:val="20"/>
          <w:szCs w:val="20"/>
        </w:rPr>
        <w:t xml:space="preserve"> - </w:t>
      </w:r>
      <w:hyperlink w:anchor="Par667" w:history="1">
        <w:r>
          <w:rPr>
            <w:rFonts w:ascii="Arial" w:hAnsi="Arial" w:cs="Arial"/>
            <w:color w:val="0000FF"/>
            <w:sz w:val="20"/>
            <w:szCs w:val="20"/>
          </w:rPr>
          <w:t>IV</w:t>
        </w:r>
      </w:hyperlink>
      <w:r>
        <w:rPr>
          <w:rFonts w:ascii="Arial" w:hAnsi="Arial" w:cs="Arial"/>
          <w:sz w:val="20"/>
          <w:szCs w:val="20"/>
        </w:rPr>
        <w:t xml:space="preserve">, </w:t>
      </w:r>
      <w:hyperlink w:anchor="Par1130" w:history="1">
        <w:r>
          <w:rPr>
            <w:rFonts w:ascii="Arial" w:hAnsi="Arial" w:cs="Arial"/>
            <w:color w:val="0000FF"/>
            <w:sz w:val="20"/>
            <w:szCs w:val="20"/>
          </w:rPr>
          <w:t>IX</w:t>
        </w:r>
      </w:hyperlink>
      <w:r>
        <w:rPr>
          <w:rFonts w:ascii="Arial" w:hAnsi="Arial" w:cs="Arial"/>
          <w:sz w:val="20"/>
          <w:szCs w:val="20"/>
        </w:rPr>
        <w:t xml:space="preserve"> - </w:t>
      </w:r>
      <w:hyperlink w:anchor="Par1588" w:history="1">
        <w:r>
          <w:rPr>
            <w:rFonts w:ascii="Arial" w:hAnsi="Arial" w:cs="Arial"/>
            <w:color w:val="0000FF"/>
            <w:sz w:val="20"/>
            <w:szCs w:val="20"/>
          </w:rPr>
          <w:t>XI</w:t>
        </w:r>
      </w:hyperlink>
      <w:r>
        <w:rPr>
          <w:rFonts w:ascii="Arial" w:hAnsi="Arial" w:cs="Arial"/>
          <w:sz w:val="20"/>
          <w:szCs w:val="20"/>
        </w:rPr>
        <w:t xml:space="preserve"> настоящего документа с учетом указанных в настоящем разделе положений.</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462"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23.01.2015 N 47)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115. Гарантирующие поставщики, зоны деятельности которых расположены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граничат между собой, заключают договоры купли-продажи (поставки) электрической энергии (мощности) в объемах, не использованных потребителями (покупателями) в зоне деятельности одного из этих гарантирующих поставщиков и необходимых для снабжения электрической энергией потребителей (покупателей) в зоне деятельности другого гарантирующего поставщика.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463"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23.01.2015 N 47)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116. 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продают электрическую энергию (мощность), произведенную на указанных генерирующих объектах гарантирующему поставщику, в зоне деятельности которого располагаются указанные объекты, по регулируемым ценам (тарифам), устанавливаемым в соответствии с </w:t>
      </w:r>
      <w:hyperlink r:id="rId464" w:history="1">
        <w:r>
          <w:rPr>
            <w:rFonts w:ascii="Arial" w:hAnsi="Arial" w:cs="Arial"/>
            <w:color w:val="0000FF"/>
            <w:sz w:val="20"/>
            <w:szCs w:val="20"/>
          </w:rPr>
          <w:t>Основами</w:t>
        </w:r>
      </w:hyperlink>
      <w:r>
        <w:rPr>
          <w:rFonts w:ascii="Arial" w:hAnsi="Arial" w:cs="Arial"/>
          <w:sz w:val="20"/>
          <w:szCs w:val="20"/>
        </w:rPr>
        <w:t xml:space="preserve"> ценообразования в области регулируемых цен (тарифов) в электроэнергетике, в объемах, учтенных в сводном прогнозном балансе производства и поставок электрической энергии (мощности), за исключением объемов электрической энергии (мощности), поставляемых по двусторонним договорам купли-продажи электрической энергии, заключенным между таким производителем и потребителями в отношении объектов потребления, введенных в эксплуатацию после 1 июля 2017 г.</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29" w:name="Par1075"/>
      <w:bookmarkEnd w:id="129"/>
      <w:r>
        <w:rPr>
          <w:rFonts w:ascii="Arial" w:hAnsi="Arial" w:cs="Arial"/>
          <w:sz w:val="20"/>
          <w:szCs w:val="20"/>
        </w:rPr>
        <w:t xml:space="preserve">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поставок электрической энергии (мощности), по ценам в рамках предельных (минимальный и (или) максимальный) уровней цен (тарифов) на электрическую энергию (мощность) в технологически изолированных территориальных электроэнергетических системах, установленных органом исполнительной власти субъекта Российской Федерации в области государственного регулирования тарифов на срок не менее 5 лет в соответствии с </w:t>
      </w:r>
      <w:hyperlink r:id="rId465" w:history="1">
        <w:r>
          <w:rPr>
            <w:rFonts w:ascii="Arial" w:hAnsi="Arial" w:cs="Arial"/>
            <w:color w:val="0000FF"/>
            <w:sz w:val="20"/>
            <w:szCs w:val="20"/>
          </w:rPr>
          <w:t>Основами</w:t>
        </w:r>
      </w:hyperlink>
      <w:r>
        <w:rPr>
          <w:rFonts w:ascii="Arial" w:hAnsi="Arial" w:cs="Arial"/>
          <w:sz w:val="20"/>
          <w:szCs w:val="20"/>
        </w:rPr>
        <w:t xml:space="preserve"> ценообразования в области регулируемых цен (тарифов) в электроэнергетике.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Электрическая энергия (мощность), произведенная на квалифицированных генерирующих объектах, расположенных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за исключением объемов электрической энергии (мощности), поставляемых по двусторонним договорам купли-продажи электрической энергии, заключенным между владельцами таких генерирующих объектов и потребителями, в отношении объектов потребления, введенных в эксплуатацию после 1 июля 2017 г., продается гарантирующему поставщику, в зоне деятельности которого расположены точки поставки таких генерирующих объектов, по ценам (тарифам) на электрическую энергию (мощность), поставляемую покупателям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потребителей и произведенной на квалифицированных генерирующих объектах, расположенных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устанавливаемым в соответствии с </w:t>
      </w:r>
      <w:hyperlink r:id="rId466" w:history="1">
        <w:r>
          <w:rPr>
            <w:rFonts w:ascii="Arial" w:hAnsi="Arial" w:cs="Arial"/>
            <w:color w:val="0000FF"/>
            <w:sz w:val="20"/>
            <w:szCs w:val="20"/>
          </w:rPr>
          <w:t>Основами</w:t>
        </w:r>
      </w:hyperlink>
      <w:r>
        <w:rPr>
          <w:rFonts w:ascii="Arial" w:hAnsi="Arial" w:cs="Arial"/>
          <w:sz w:val="20"/>
          <w:szCs w:val="20"/>
        </w:rPr>
        <w:t xml:space="preserve"> ценообразования в области регулируемых цен (тарифов) в электроэнергетике.</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(п. 116 в ред. </w:t>
      </w:r>
      <w:hyperlink r:id="rId467"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31.12.2019 N 1947)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116(1). Выбор варианта цены (тарифа) на электрическую энергию (мощность) по договору энергоснабжения (купли-продажи (поставки) электрической энергии (мощности) с гарантирующим поставщиком, энергосбытовой (энергоснабжающей) организацией на розничном рынке осуществляется в соответствии с </w:t>
      </w:r>
      <w:hyperlink r:id="rId468" w:history="1">
        <w:r>
          <w:rPr>
            <w:rFonts w:ascii="Arial" w:hAnsi="Arial" w:cs="Arial"/>
            <w:color w:val="0000FF"/>
            <w:sz w:val="20"/>
            <w:szCs w:val="20"/>
          </w:rPr>
          <w:t>Основами</w:t>
        </w:r>
      </w:hyperlink>
      <w:r>
        <w:rPr>
          <w:rFonts w:ascii="Arial" w:hAnsi="Arial" w:cs="Arial"/>
          <w:sz w:val="20"/>
          <w:szCs w:val="20"/>
        </w:rPr>
        <w:t xml:space="preserve"> ценообразования в области регулируемых цен (тарифов) в электроэнергетике.</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469"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31.12.2019 N 1947)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Величина мощности, оплачиваемой потребителем (покупателем) гарантирующему поставщику, энергосбытовой (энергоснабжающей) организации на розничном рынке в технологически изолированных территориальных электроэнергетических системах за расчетный период, определяется как среднее арифметическое значение из почасовых объемов потребления электрической энергии потребителем (покупателем) в часы максимальной фактической пиковой нагрузки в технологически изолированной территориальной электроэнергетической системе.</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470"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23.01.2015 N 47)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Час максимальной фактической пиковой нагрузки в технологически изолированной территориальной электроэнергетической системе в отношении суток одинаков для всех потребителей (покупателей) и определяется для каждых рабочих суток расчетного периода субъектом оперативно-диспетчерского управления в технологически изолированной территориальной электроэнергетической системе как час наибольшего суммарного потребления электрической энергии по данной системе в установленные системным оператором плановые часы пиковой нагрузки.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Часы максимальной фактической пиковой нагрузки в технологически изолированной территориальной электроэнергетической системе публикуются субъектом оперативно-диспетчерского управления в технологически изолированной территориальной электроэнергетической системе на своем официальном сайте в сети "Интернет" или в официальном печатном издании не позднее 10 числа месяца, следующего за расчетным.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Объем услуг по передаче электрической энергии, оплачиваемых потребителем (покупателем) на розничном рынке в технологически изолированных территориальных электроэнергетических системах, в том числе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определяется в соответствии с </w:t>
      </w:r>
      <w:hyperlink r:id="rId471" w:history="1">
        <w:r>
          <w:rPr>
            <w:rFonts w:ascii="Arial" w:hAnsi="Arial" w:cs="Arial"/>
            <w:color w:val="0000FF"/>
            <w:sz w:val="20"/>
            <w:szCs w:val="20"/>
          </w:rPr>
          <w:t>пунктом 15(1)</w:t>
        </w:r>
      </w:hyperlink>
      <w:r>
        <w:rPr>
          <w:rFonts w:ascii="Arial" w:hAnsi="Arial" w:cs="Arial"/>
          <w:sz w:val="20"/>
          <w:szCs w:val="20"/>
        </w:rPr>
        <w:t xml:space="preserve"> и </w:t>
      </w:r>
      <w:hyperlink r:id="rId472" w:history="1">
        <w:r>
          <w:rPr>
            <w:rFonts w:ascii="Arial" w:hAnsi="Arial" w:cs="Arial"/>
            <w:color w:val="0000FF"/>
            <w:sz w:val="20"/>
            <w:szCs w:val="20"/>
          </w:rPr>
          <w:t>разделом X</w:t>
        </w:r>
      </w:hyperlink>
      <w:r>
        <w:rPr>
          <w:rFonts w:ascii="Arial" w:hAnsi="Arial" w:cs="Arial"/>
          <w:sz w:val="20"/>
          <w:szCs w:val="20"/>
        </w:rPr>
        <w:t xml:space="preserve"> Правил недискриминационного доступа к услугам по передаче электрической энергии и оказания этих услуг.</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Постановлений Правительства РФ от 31.12.2019 </w:t>
      </w:r>
      <w:hyperlink r:id="rId473" w:history="1">
        <w:r>
          <w:rPr>
            <w:rFonts w:ascii="Arial" w:hAnsi="Arial" w:cs="Arial"/>
            <w:color w:val="0000FF"/>
            <w:sz w:val="20"/>
            <w:szCs w:val="20"/>
          </w:rPr>
          <w:t>N 1947</w:t>
        </w:r>
      </w:hyperlink>
      <w:r>
        <w:rPr>
          <w:rFonts w:ascii="Arial" w:hAnsi="Arial" w:cs="Arial"/>
          <w:sz w:val="20"/>
          <w:szCs w:val="20"/>
        </w:rPr>
        <w:t xml:space="preserve">, от 30.04.2020 </w:t>
      </w:r>
      <w:hyperlink r:id="rId474" w:history="1">
        <w:r>
          <w:rPr>
            <w:rFonts w:ascii="Arial" w:hAnsi="Arial" w:cs="Arial"/>
            <w:color w:val="0000FF"/>
            <w:sz w:val="20"/>
            <w:szCs w:val="20"/>
          </w:rPr>
          <w:t>N 628</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Почасовые объемы потребления электрической энергии для расчета обязательств потребителей (покупателей), осуществляющих расчеты по трехставочным ценам (тарифам), определяемым и применяемым в соответствии с </w:t>
      </w:r>
      <w:hyperlink r:id="rId475" w:history="1">
        <w:r>
          <w:rPr>
            <w:rFonts w:ascii="Arial" w:hAnsi="Arial" w:cs="Arial"/>
            <w:color w:val="0000FF"/>
            <w:sz w:val="20"/>
            <w:szCs w:val="20"/>
          </w:rPr>
          <w:t>Основами ценообразования</w:t>
        </w:r>
      </w:hyperlink>
      <w:r>
        <w:rPr>
          <w:rFonts w:ascii="Arial" w:hAnsi="Arial" w:cs="Arial"/>
          <w:sz w:val="20"/>
          <w:szCs w:val="20"/>
        </w:rPr>
        <w:t xml:space="preserve"> в области регулируемых цен (тарифов) в электроэнергетике,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осуществляющих расчеты по трехставочным ценам (тарифам),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в иных случаях, указанных в </w:t>
      </w:r>
      <w:hyperlink w:anchor="Par1220" w:history="1">
        <w:r>
          <w:rPr>
            <w:rFonts w:ascii="Arial" w:hAnsi="Arial" w:cs="Arial"/>
            <w:color w:val="0000FF"/>
            <w:sz w:val="20"/>
            <w:szCs w:val="20"/>
          </w:rPr>
          <w:t>разделе X</w:t>
        </w:r>
      </w:hyperlink>
      <w:r>
        <w:rPr>
          <w:rFonts w:ascii="Arial" w:hAnsi="Arial" w:cs="Arial"/>
          <w:sz w:val="20"/>
          <w:szCs w:val="20"/>
        </w:rPr>
        <w:t xml:space="preserve"> настоящего документа, определение объемов потребления электрической энергии осуществляется в порядке, предусмотренном </w:t>
      </w:r>
      <w:hyperlink w:anchor="Par1220" w:history="1">
        <w:r>
          <w:rPr>
            <w:rFonts w:ascii="Arial" w:hAnsi="Arial" w:cs="Arial"/>
            <w:color w:val="0000FF"/>
            <w:sz w:val="20"/>
            <w:szCs w:val="20"/>
          </w:rPr>
          <w:t>разделом X</w:t>
        </w:r>
      </w:hyperlink>
      <w:r>
        <w:rPr>
          <w:rFonts w:ascii="Arial" w:hAnsi="Arial" w:cs="Arial"/>
          <w:sz w:val="20"/>
          <w:szCs w:val="20"/>
        </w:rPr>
        <w:t xml:space="preserve"> настоящего документа, с применением расчетных способов.</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116(1) введен </w:t>
      </w:r>
      <w:hyperlink r:id="rId476"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11.08.2014 N 792)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116(2). Существенными условиями двустороннего договора купли-продажи электрической энергии (мощности), заключаемого в соответствии с </w:t>
      </w:r>
      <w:hyperlink w:anchor="Par1075" w:history="1">
        <w:r>
          <w:rPr>
            <w:rFonts w:ascii="Arial" w:hAnsi="Arial" w:cs="Arial"/>
            <w:color w:val="0000FF"/>
            <w:sz w:val="20"/>
            <w:szCs w:val="20"/>
          </w:rPr>
          <w:t>абзацем вторым пункта 116</w:t>
        </w:r>
      </w:hyperlink>
      <w:r>
        <w:rPr>
          <w:rFonts w:ascii="Arial" w:hAnsi="Arial" w:cs="Arial"/>
          <w:sz w:val="20"/>
          <w:szCs w:val="20"/>
        </w:rPr>
        <w:t xml:space="preserve"> настоящего документа, являются: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предмет договора;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дата и время начала исполнения обязательств по договору;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цена по договору, определенная в рамках предельных уровней цен по двустороннему договору купли-продажи электрической энергии (мощности), установленных органом исполнительной власти субъекта Российской Федерации в области государственного регулирования тарифов, или порядок ее определения;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w:t>
      </w:r>
      <w:hyperlink r:id="rId477" w:history="1">
        <w:r>
          <w:rPr>
            <w:rFonts w:ascii="Arial" w:hAnsi="Arial" w:cs="Arial"/>
            <w:color w:val="0000FF"/>
            <w:sz w:val="20"/>
            <w:szCs w:val="20"/>
          </w:rPr>
          <w:t>Правилами</w:t>
        </w:r>
      </w:hyperlink>
      <w:r>
        <w:rPr>
          <w:rFonts w:ascii="Arial" w:hAnsi="Arial" w:cs="Arial"/>
          <w:sz w:val="20"/>
          <w:szCs w:val="20"/>
        </w:rPr>
        <w:t xml:space="preserve"> недискриминационного доступа к услугам по передаче электрической энергии и оказания этих услуг и уведомить гарантирующего поставщика и производителя электрической энергии (мощности) на розничных рынках, владеющего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о дате заключения такого договора оказания услуг по передаче электрической энергии, а также обязанность потребителя, на которого в соответствии с </w:t>
      </w:r>
      <w:hyperlink r:id="rId478" w:history="1">
        <w:r>
          <w:rPr>
            <w:rFonts w:ascii="Arial" w:hAnsi="Arial" w:cs="Arial"/>
            <w:color w:val="0000FF"/>
            <w:sz w:val="20"/>
            <w:szCs w:val="20"/>
          </w:rPr>
          <w:t>Правилами</w:t>
        </w:r>
      </w:hyperlink>
      <w:r>
        <w:rPr>
          <w:rFonts w:ascii="Arial" w:hAnsi="Arial" w:cs="Arial"/>
          <w:sz w:val="20"/>
          <w:szCs w:val="20"/>
        </w:rPr>
        <w:t xml:space="preserve"> недискриминационного доступа к услугам по передаче электрической энергии и оказания этих услуг возложена обязанность по составлению и согласованию акта согласования технологической и (или) аварийной брони, передать гарантирующему поставщику не позднее 5 дней со дня согласования копию указанного акта, составленного (измененного) и согласованного в установленном порядке с сетевой организацией, после заключения договора купли-продажи (поставки)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точка (точки) поставки по договору, соответствующая (соответствующие) точке (точкам) присоединения энергопринимающих устройств объектов, введенных в эксплуатацию после 1 июля 2017 г., к электрической сети;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положение о соответствии качества поставляемой электрической энергии требованиям законодательства Российской Федерации;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договорной объем покупки электрической энергии (мощности) за расчетный период, а также для каждого часа расчетного периода, установленный в соответствии с настоящим документом;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условия о порядке учета электрической энергии (мощности) с использованием приборов учета и порядке взаимодействия сторон договора в процессе такого учета, указанные в </w:t>
      </w:r>
      <w:hyperlink w:anchor="Par456" w:history="1">
        <w:r>
          <w:rPr>
            <w:rFonts w:ascii="Arial" w:hAnsi="Arial" w:cs="Arial"/>
            <w:color w:val="0000FF"/>
            <w:sz w:val="20"/>
            <w:szCs w:val="20"/>
          </w:rPr>
          <w:t>пункте 42</w:t>
        </w:r>
      </w:hyperlink>
      <w:r>
        <w:rPr>
          <w:rFonts w:ascii="Arial" w:hAnsi="Arial" w:cs="Arial"/>
          <w:sz w:val="20"/>
          <w:szCs w:val="20"/>
        </w:rPr>
        <w:t xml:space="preserve"> настоящего документа, характеристики приборов учета, имеющихся на дату заключения договора, а также обязанность потребителя (покупателя) по обеспечению оборудования точек поставки по договору приборами учета и условия о порядке определения объема потребления электрической энергии (мощности) в случае отсутствия приборов учета и в иных случаях, когда в соответствии с настоящим документом подлежат применению расчетные способы;</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порядок расторжения договора.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Потребители, функционирующие в технологически изолированных территориальных электроэнергетических системах, объекты которых введены в эксплуатацию после 1 июля 2017 г., в целях заключения двусторонних договоров купли-продажи электрической энергии направляют производителям электрической энергии (мощности) на розничных рынках, владеющим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заявку на заключение таких договоров с приложением следующих документов: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документ о вводе в эксплуатацию объектов снабжения после 1 июля 2017 г., для целей энергоснабжения которых будет заключаться договор купли-продажи;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прогнозируемый объем покупки электрической энергии (мощности) по договору на период заключения договора купли-продажи, но не менее чем на 5 лет.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Почасовой объем продажи электрической энергии (мощности) для каждого часа (</w:t>
      </w:r>
      <w:r>
        <w:rPr>
          <w:rFonts w:ascii="Arial" w:hAnsi="Arial" w:cs="Arial"/>
          <w:noProof/>
          <w:position w:val="-10"/>
          <w:sz w:val="20"/>
          <w:szCs w:val="20"/>
          <w:lang w:eastAsia="ru-RU"/>
        </w:rPr>
        <w:drawing>
          <wp:inline distT="0" distB="0" distL="0" distR="0">
            <wp:extent cx="514350" cy="257175"/>
            <wp:effectExtent l="0" t="0" r="0" b="9525"/>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r>
        <w:rPr>
          <w:rFonts w:ascii="Arial" w:hAnsi="Arial" w:cs="Arial"/>
          <w:sz w:val="20"/>
          <w:szCs w:val="20"/>
        </w:rPr>
        <w:t xml:space="preserve">) по указанному в </w:t>
      </w:r>
      <w:hyperlink w:anchor="Par1075" w:history="1">
        <w:r>
          <w:rPr>
            <w:rFonts w:ascii="Arial" w:hAnsi="Arial" w:cs="Arial"/>
            <w:color w:val="0000FF"/>
            <w:sz w:val="20"/>
            <w:szCs w:val="20"/>
          </w:rPr>
          <w:t>абзаце втором пункта 116</w:t>
        </w:r>
      </w:hyperlink>
      <w:r>
        <w:rPr>
          <w:rFonts w:ascii="Arial" w:hAnsi="Arial" w:cs="Arial"/>
          <w:sz w:val="20"/>
          <w:szCs w:val="20"/>
        </w:rPr>
        <w:t xml:space="preserve"> настоящего документа договору определяется гарантирующим поставщиком (производителем) по формуле:</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48"/>
          <w:sz w:val="20"/>
          <w:szCs w:val="20"/>
          <w:lang w:eastAsia="ru-RU"/>
        </w:rPr>
        <w:drawing>
          <wp:inline distT="0" distB="0" distL="0" distR="0">
            <wp:extent cx="4038600" cy="742950"/>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4038600" cy="74295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lastRenderedPageBreak/>
        <w:drawing>
          <wp:inline distT="0" distB="0" distL="0" distR="0">
            <wp:extent cx="457200" cy="257175"/>
            <wp:effectExtent l="0" t="0" r="0" b="9525"/>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Pr>
          <w:rFonts w:ascii="Arial" w:hAnsi="Arial" w:cs="Arial"/>
          <w:sz w:val="20"/>
          <w:szCs w:val="20"/>
        </w:rPr>
        <w:t xml:space="preserve"> - почасовой договорный объем продажи электрической энергии (мощности) по двустороннему договору, указанному в </w:t>
      </w:r>
      <w:hyperlink w:anchor="Par1075" w:history="1">
        <w:r>
          <w:rPr>
            <w:rFonts w:ascii="Arial" w:hAnsi="Arial" w:cs="Arial"/>
            <w:color w:val="0000FF"/>
            <w:sz w:val="20"/>
            <w:szCs w:val="20"/>
          </w:rPr>
          <w:t>абзаце втором пункта 116</w:t>
        </w:r>
      </w:hyperlink>
      <w:r>
        <w:rPr>
          <w:rFonts w:ascii="Arial" w:hAnsi="Arial" w:cs="Arial"/>
          <w:sz w:val="20"/>
          <w:szCs w:val="20"/>
        </w:rPr>
        <w:t xml:space="preserve"> настоящего документа, в час h расчетного периода m, заключенному в отношении энергопринимающего устройства p и объекта по производству g, 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428625" cy="257175"/>
            <wp:effectExtent l="0" t="0" r="9525" b="9525"/>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Pr>
          <w:rFonts w:ascii="Arial" w:hAnsi="Arial" w:cs="Arial"/>
          <w:sz w:val="20"/>
          <w:szCs w:val="20"/>
        </w:rPr>
        <w:t xml:space="preserve"> - фактический почасовой объем производства электрической энергии (мощности) на объекте по производству g в час h расчетного периода m, определенный исходя из показаний приборов учета электрической энергии в порядке, предусмотренном </w:t>
      </w:r>
      <w:hyperlink w:anchor="Par1220" w:history="1">
        <w:r>
          <w:rPr>
            <w:rFonts w:ascii="Arial" w:hAnsi="Arial" w:cs="Arial"/>
            <w:color w:val="0000FF"/>
            <w:sz w:val="20"/>
            <w:szCs w:val="20"/>
          </w:rPr>
          <w:t>разделом X</w:t>
        </w:r>
      </w:hyperlink>
      <w:r>
        <w:rPr>
          <w:rFonts w:ascii="Arial" w:hAnsi="Arial" w:cs="Arial"/>
          <w:sz w:val="20"/>
          <w:szCs w:val="20"/>
        </w:rPr>
        <w:t xml:space="preserve"> настоящего документа, 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7"/>
          <w:sz w:val="20"/>
          <w:szCs w:val="20"/>
          <w:lang w:eastAsia="ru-RU"/>
        </w:rPr>
        <w:drawing>
          <wp:inline distT="0" distB="0" distL="0" distR="0">
            <wp:extent cx="647700" cy="352425"/>
            <wp:effectExtent l="0" t="0" r="0" b="9525"/>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647700" cy="352425"/>
                    </a:xfrm>
                    <a:prstGeom prst="rect">
                      <a:avLst/>
                    </a:prstGeom>
                    <a:noFill/>
                    <a:ln>
                      <a:noFill/>
                    </a:ln>
                  </pic:spPr>
                </pic:pic>
              </a:graphicData>
            </a:graphic>
          </wp:inline>
        </w:drawing>
      </w:r>
      <w:r>
        <w:rPr>
          <w:rFonts w:ascii="Arial" w:hAnsi="Arial" w:cs="Arial"/>
          <w:sz w:val="20"/>
          <w:szCs w:val="20"/>
        </w:rPr>
        <w:t xml:space="preserve"> - сумма почасовых договорных объемов продажи электрической энергии (мощности) по всем двусторонним договорам, указанным в </w:t>
      </w:r>
      <w:hyperlink w:anchor="Par1075" w:history="1">
        <w:r>
          <w:rPr>
            <w:rFonts w:ascii="Arial" w:hAnsi="Arial" w:cs="Arial"/>
            <w:color w:val="0000FF"/>
            <w:sz w:val="20"/>
            <w:szCs w:val="20"/>
          </w:rPr>
          <w:t>абзаце втором пункта 116</w:t>
        </w:r>
      </w:hyperlink>
      <w:r>
        <w:rPr>
          <w:rFonts w:ascii="Arial" w:hAnsi="Arial" w:cs="Arial"/>
          <w:sz w:val="20"/>
          <w:szCs w:val="20"/>
        </w:rPr>
        <w:t xml:space="preserve"> настоящего документа, в час h расчетного периода m, заключенным в отношении объекта по производству g, 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52425" cy="257175"/>
            <wp:effectExtent l="0" t="0" r="9525" b="9525"/>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Pr>
          <w:rFonts w:ascii="Arial" w:hAnsi="Arial" w:cs="Arial"/>
          <w:sz w:val="20"/>
          <w:szCs w:val="20"/>
        </w:rPr>
        <w:t xml:space="preserve"> - фактический почасовой объем потребления электрической энергии (мощности) на энергопринимающем устройстве p в час h расчетного периода m, определенный исходя из показаний приборов учета электрической энергии в порядке, предусмотренном </w:t>
      </w:r>
      <w:hyperlink w:anchor="Par1220" w:history="1">
        <w:r>
          <w:rPr>
            <w:rFonts w:ascii="Arial" w:hAnsi="Arial" w:cs="Arial"/>
            <w:color w:val="0000FF"/>
            <w:sz w:val="20"/>
            <w:szCs w:val="20"/>
          </w:rPr>
          <w:t>разделом X</w:t>
        </w:r>
      </w:hyperlink>
      <w:r>
        <w:rPr>
          <w:rFonts w:ascii="Arial" w:hAnsi="Arial" w:cs="Arial"/>
          <w:sz w:val="20"/>
          <w:szCs w:val="20"/>
        </w:rPr>
        <w:t xml:space="preserve"> настоящего документа, 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7"/>
          <w:sz w:val="20"/>
          <w:szCs w:val="20"/>
          <w:lang w:eastAsia="ru-RU"/>
        </w:rPr>
        <w:drawing>
          <wp:inline distT="0" distB="0" distL="0" distR="0">
            <wp:extent cx="647700" cy="352425"/>
            <wp:effectExtent l="0" t="0" r="0" b="9525"/>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647700" cy="352425"/>
                    </a:xfrm>
                    <a:prstGeom prst="rect">
                      <a:avLst/>
                    </a:prstGeom>
                    <a:noFill/>
                    <a:ln>
                      <a:noFill/>
                    </a:ln>
                  </pic:spPr>
                </pic:pic>
              </a:graphicData>
            </a:graphic>
          </wp:inline>
        </w:drawing>
      </w:r>
      <w:r>
        <w:rPr>
          <w:rFonts w:ascii="Arial" w:hAnsi="Arial" w:cs="Arial"/>
          <w:sz w:val="20"/>
          <w:szCs w:val="20"/>
        </w:rPr>
        <w:t xml:space="preserve"> - сумма почасовых договорных объемов продажи электрической энергии (мощности) по всем двусторонним договорам, указанным в </w:t>
      </w:r>
      <w:hyperlink w:anchor="Par1075" w:history="1">
        <w:r>
          <w:rPr>
            <w:rFonts w:ascii="Arial" w:hAnsi="Arial" w:cs="Arial"/>
            <w:color w:val="0000FF"/>
            <w:sz w:val="20"/>
            <w:szCs w:val="20"/>
          </w:rPr>
          <w:t>абзаце втором пункта 116</w:t>
        </w:r>
      </w:hyperlink>
      <w:r>
        <w:rPr>
          <w:rFonts w:ascii="Arial" w:hAnsi="Arial" w:cs="Arial"/>
          <w:sz w:val="20"/>
          <w:szCs w:val="20"/>
        </w:rPr>
        <w:t xml:space="preserve"> настоящего документа, в час h расчетного периода m, заключенным в отношении энергопринимающего устройства p, 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Для объектов потребителей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w:t>
      </w:r>
      <w:hyperlink w:anchor="Par1075" w:history="1">
        <w:r>
          <w:rPr>
            <w:rFonts w:ascii="Arial" w:hAnsi="Arial" w:cs="Arial"/>
            <w:color w:val="0000FF"/>
            <w:sz w:val="20"/>
            <w:szCs w:val="20"/>
          </w:rPr>
          <w:t>абзаце втором пункта 116</w:t>
        </w:r>
      </w:hyperlink>
      <w:r>
        <w:rPr>
          <w:rFonts w:ascii="Arial" w:hAnsi="Arial" w:cs="Arial"/>
          <w:sz w:val="20"/>
          <w:szCs w:val="20"/>
        </w:rPr>
        <w:t xml:space="preserve">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объекты потребителя (объекты электросетевого хозяйства).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Объем покупки электрической энергии (мощности), поставляемой гарантирующим поставщиком по такому договору энергоснабжения (купли-продажи (поставки) электрической энергии (мощности) (</w:t>
      </w:r>
      <w:r>
        <w:rPr>
          <w:rFonts w:ascii="Arial" w:hAnsi="Arial" w:cs="Arial"/>
          <w:noProof/>
          <w:position w:val="-10"/>
          <w:sz w:val="20"/>
          <w:szCs w:val="20"/>
          <w:lang w:eastAsia="ru-RU"/>
        </w:rPr>
        <w:drawing>
          <wp:inline distT="0" distB="0" distL="0" distR="0">
            <wp:extent cx="552450" cy="257175"/>
            <wp:effectExtent l="0" t="0" r="0" b="9525"/>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Pr>
          <w:rFonts w:ascii="Arial" w:hAnsi="Arial" w:cs="Arial"/>
          <w:sz w:val="20"/>
          <w:szCs w:val="20"/>
        </w:rPr>
        <w:t>), определяется указанным гарантирующим поставщиком по формуле:</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28"/>
          <w:sz w:val="20"/>
          <w:szCs w:val="20"/>
          <w:lang w:eastAsia="ru-RU"/>
        </w:rPr>
        <w:drawing>
          <wp:inline distT="0" distB="0" distL="0" distR="0">
            <wp:extent cx="2571750" cy="485775"/>
            <wp:effectExtent l="0" t="0" r="0" b="9525"/>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2571750" cy="485775"/>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52425" cy="257175"/>
            <wp:effectExtent l="0" t="0" r="9525" b="9525"/>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Pr>
          <w:rFonts w:ascii="Arial" w:hAnsi="Arial" w:cs="Arial"/>
          <w:sz w:val="20"/>
          <w:szCs w:val="20"/>
        </w:rPr>
        <w:t xml:space="preserve"> - фактический почасовой объем потребления электрической энергии (мощности) на энергопринимающем устройстве p в час h расчетного периода m, определенный исходя из показаний приборов учета электрической энергии в порядке, предусмотренном </w:t>
      </w:r>
      <w:hyperlink w:anchor="Par1220" w:history="1">
        <w:r>
          <w:rPr>
            <w:rFonts w:ascii="Arial" w:hAnsi="Arial" w:cs="Arial"/>
            <w:color w:val="0000FF"/>
            <w:sz w:val="20"/>
            <w:szCs w:val="20"/>
          </w:rPr>
          <w:t>разделом X</w:t>
        </w:r>
      </w:hyperlink>
      <w:r>
        <w:rPr>
          <w:rFonts w:ascii="Arial" w:hAnsi="Arial" w:cs="Arial"/>
          <w:sz w:val="20"/>
          <w:szCs w:val="20"/>
        </w:rPr>
        <w:t xml:space="preserve"> настоящего документа, 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7"/>
          <w:sz w:val="20"/>
          <w:szCs w:val="20"/>
          <w:lang w:eastAsia="ru-RU"/>
        </w:rPr>
        <w:drawing>
          <wp:inline distT="0" distB="0" distL="0" distR="0">
            <wp:extent cx="704850" cy="352425"/>
            <wp:effectExtent l="0" t="0" r="0" b="9525"/>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Pr>
          <w:rFonts w:ascii="Arial" w:hAnsi="Arial" w:cs="Arial"/>
          <w:sz w:val="20"/>
          <w:szCs w:val="20"/>
        </w:rPr>
        <w:t xml:space="preserve"> - сумма почасовых объемов продажи электрической энергии (мощности) по всем двусторонним договорам, указанным в </w:t>
      </w:r>
      <w:hyperlink w:anchor="Par1075" w:history="1">
        <w:r>
          <w:rPr>
            <w:rFonts w:ascii="Arial" w:hAnsi="Arial" w:cs="Arial"/>
            <w:color w:val="0000FF"/>
            <w:sz w:val="20"/>
            <w:szCs w:val="20"/>
          </w:rPr>
          <w:t>абзаце втором пункта 116</w:t>
        </w:r>
      </w:hyperlink>
      <w:r>
        <w:rPr>
          <w:rFonts w:ascii="Arial" w:hAnsi="Arial" w:cs="Arial"/>
          <w:sz w:val="20"/>
          <w:szCs w:val="20"/>
        </w:rPr>
        <w:t xml:space="preserve"> настоящего документа, в час h расчетного периода m, заключенным в отношении энергопринимающего устройства p, МВт·ч.</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116(2) введен </w:t>
      </w:r>
      <w:hyperlink r:id="rId490"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31.12.2019 N 1947)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30" w:name="Par1120"/>
      <w:bookmarkEnd w:id="130"/>
      <w:r>
        <w:rPr>
          <w:rFonts w:ascii="Arial" w:hAnsi="Arial" w:cs="Arial"/>
          <w:sz w:val="20"/>
          <w:szCs w:val="20"/>
        </w:rPr>
        <w:t xml:space="preserve">117. Субъект оперативно-диспетчерского управления в технологически изолированной территориальной электроэнергетической системе формирует плановый почасовой график производства электрической энергии участниками розничного рынка на предстоящие сутки и включает в него, в первую очередь, плановые почасовые объемы производства электрической энергии (мощности) на </w:t>
      </w:r>
      <w:r>
        <w:rPr>
          <w:rFonts w:ascii="Arial" w:hAnsi="Arial" w:cs="Arial"/>
          <w:sz w:val="20"/>
          <w:szCs w:val="20"/>
        </w:rPr>
        <w:lastRenderedPageBreak/>
        <w:t>квалифицированных генерирующих объектах, во вторую очередь, - на генерирующих объектах с наименьшей стоимостью производства электрической энергии (мощности) при условии обеспечения надежности и безопасности функционирования электроэнергетической системы.</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Для указанных целей производители электрической энергии (мощности) на розничных рынках, осуществляющие свою деятельность в технологически изолированных территориальных электроэнергетических системах с использованием генерирующих объектов, функционирующих в составе такой электроэнергетической системы, представляют субъекту оперативно-диспетчерского управления в электроэнергетике: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плановые почасовые графики нагрузки генерирующего оборудования с указанием цен на электрическую энергию (мощность) не выше установленных для них регулируемых цен (тарифов) - не позднее чем за 48 часов до начала суток, в течение которых осуществляется производство (поставка) электрической энергии, для каждого часа указанных суток, а также уточненные данные - не позднее чем за 24 часа до начала таких суток;</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уведомление о готовности генерирующего оборудования к работе в определенном технологическом режиме на каждый час соответствующих суток, содержащее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технический минимум, технологический минимум);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информацию о фактической выработке электрической энергии за прошедшие сутки - до 7 часов 00 минут следующих суток.</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Гарантирующие поставщики, зоны деятельности которых расположены на территории соответствующей технологически изолированной территориальной электроэнергетической системы, представляют субъекту оперативно-диспетчерского управления в электроэнергетике уведомления о плановом почасовом потреблении электрической энергии (мощности) потребителями (покупателями) розничного рынка на такой территории не позднее чем за 48 часов до начала суток, в течение которых осуществляется производство (поставка) электрической энергии, для каждого часа указанных суток, а также уточненные данные - не позднее чем за 24 часа до начала таких суток.</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Положения </w:t>
      </w:r>
      <w:hyperlink w:anchor="Par1120" w:history="1">
        <w:r>
          <w:rPr>
            <w:rFonts w:ascii="Arial" w:hAnsi="Arial" w:cs="Arial"/>
            <w:color w:val="0000FF"/>
            <w:sz w:val="20"/>
            <w:szCs w:val="20"/>
          </w:rPr>
          <w:t>абзаца первого</w:t>
        </w:r>
      </w:hyperlink>
      <w:r>
        <w:rPr>
          <w:rFonts w:ascii="Arial" w:hAnsi="Arial" w:cs="Arial"/>
          <w:sz w:val="20"/>
          <w:szCs w:val="20"/>
        </w:rPr>
        <w:t xml:space="preserve"> настоящего пункта не распространяются на случаи возникновения или угрозы возникновения в технологически изолированной территориальной электроэнергетической системе аварийного электроэнергетического режима.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возникновения или угрозы возникновения аварийного электроэнергетического режима в работе энергосистемы производители электрической энергии (мощности) на розничном рынке, осуществляющие деятельность в пределах территории технологически изолированной территориальной электроэнергетической системы, корректируют графики нагрузки генерирующих объектов и осуществляют загрузку (разгрузку) генерирующего оборудования в соответствии с диспетчерскими командами (распоряжениями) субъекта оперативно-диспетчерского управления в электроэнергетике.</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117 в ред. </w:t>
      </w:r>
      <w:hyperlink r:id="rId491"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08.12.2018 N 1496)</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bookmarkStart w:id="131" w:name="Par1130"/>
      <w:bookmarkEnd w:id="131"/>
      <w:r>
        <w:rPr>
          <w:rFonts w:ascii="Arial" w:eastAsiaTheme="minorHAnsi" w:hAnsi="Arial" w:cs="Arial"/>
          <w:color w:val="auto"/>
          <w:sz w:val="20"/>
          <w:szCs w:val="20"/>
        </w:rPr>
        <w:t>IX. Порядок взаимодействия субъектов розничных</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рынков, участвующих в обороте электрической энергии,</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с организациями технологической инфраструктуры</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на розничных рынках</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118. Технологическую инфраструктуру розничных рынков составляют сетевые организации, осуществляющие передачу электрической энергии, и субъекты оперативно-диспетчерского управления в электроэнергетике, осуществляющие оперативно-диспетчерское управление на розничных рынках (системный оператор и субъекты оперативно-диспетчерского управления в технологически изолированных территориальных электроэнергетических системах).</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119. Порядок взаимодействия субъектов розничных рынков, участвующих в обороте электрической энергии, с сетевой организацией в целях осуществления технологического присоединения к объектам электросетевого хозяйства энергопринимающих устройств потребителей, объектов по производству электрической энергии (мощности), а также объектов электросетевого хозяйства, принадлежащих сетевым организациям и иным лицам, определяется в соответствии с </w:t>
      </w:r>
      <w:hyperlink r:id="rId492" w:history="1">
        <w:r>
          <w:rPr>
            <w:rFonts w:ascii="Arial" w:hAnsi="Arial" w:cs="Arial"/>
            <w:color w:val="0000FF"/>
            <w:sz w:val="20"/>
            <w:szCs w:val="20"/>
          </w:rPr>
          <w:t>Правилами</w:t>
        </w:r>
      </w:hyperlink>
      <w:r>
        <w:rPr>
          <w:rFonts w:ascii="Arial" w:hAnsi="Arial" w:cs="Arial"/>
          <w:sz w:val="20"/>
          <w:szCs w:val="20"/>
        </w:rPr>
        <w:t xml:space="preserve"> технологического присоединения.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(в ред. </w:t>
      </w:r>
      <w:hyperlink r:id="rId493"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18.04.2020 N 554)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120. Порядок взаимодействия субъектов розничных рынков, участвующих в обороте электрической энергии, с сетевой организацией в целях оказания услуг по передаче электрической энергии определяется в соответствии с </w:t>
      </w:r>
      <w:hyperlink r:id="rId494" w:history="1">
        <w:r>
          <w:rPr>
            <w:rFonts w:ascii="Arial" w:hAnsi="Arial" w:cs="Arial"/>
            <w:color w:val="0000FF"/>
            <w:sz w:val="20"/>
            <w:szCs w:val="20"/>
          </w:rPr>
          <w:t>Правилами</w:t>
        </w:r>
      </w:hyperlink>
      <w:r>
        <w:rPr>
          <w:rFonts w:ascii="Arial" w:hAnsi="Arial" w:cs="Arial"/>
          <w:sz w:val="20"/>
          <w:szCs w:val="20"/>
        </w:rPr>
        <w:t xml:space="preserve"> недискриминационного доступа к услугам по передаче электрической энергии и оказания этих услуг.</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когда одна сетевая организация на основании соглашения с другой сетевой организацией передала ей право заключения договоров оказания услуг по передаче электрической энергии, оказываемых с использованием принадлежащих ей объектов электросетевого хозяйства, то получившая такое право сетевая организация не вправе отказывать в заключении договора оказания услуг по передаче электрической энергии по причине отсутствия осуществленного в установленном законодательством Российской Федерации порядке технологического присоединения (непосредственного или опосредованного) энергопринимающих устройств, в отношении которых направлено заявление о заключении договора, к принадлежащим ей объектам электросетевого хозяйства.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32" w:name="Par1140"/>
      <w:bookmarkEnd w:id="132"/>
      <w:r>
        <w:rPr>
          <w:rFonts w:ascii="Arial" w:hAnsi="Arial" w:cs="Arial"/>
          <w:sz w:val="20"/>
          <w:szCs w:val="20"/>
        </w:rPr>
        <w:t xml:space="preserve">121. Порядок взаимодействия субъектов розничных рынков, участвующих в обороте электрической энергии, с сетевой организацией в связи с необходимостью введения полного и (или) частичного ограничения режима потребления электрической энергии потребителями - участниками розничных рынков, в том числе его уровня, в случае нарушения своих обязательств потребителями, а также в случае необходимости принятия неотложных мер по предотвращению или ликвидации аварийных ситуаций определяется в соответствии с </w:t>
      </w:r>
      <w:hyperlink w:anchor="Par3675" w:history="1">
        <w:r>
          <w:rPr>
            <w:rFonts w:ascii="Arial" w:hAnsi="Arial" w:cs="Arial"/>
            <w:color w:val="0000FF"/>
            <w:sz w:val="20"/>
            <w:szCs w:val="20"/>
          </w:rPr>
          <w:t>Правилами</w:t>
        </w:r>
      </w:hyperlink>
      <w:r>
        <w:rPr>
          <w:rFonts w:ascii="Arial" w:hAnsi="Arial" w:cs="Arial"/>
          <w:sz w:val="20"/>
          <w:szCs w:val="20"/>
        </w:rPr>
        <w:t xml:space="preserve"> полного и (или) частичного ограничения режима потребления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связи с выявлением факта бездоговорного потребления электрической энергии сетевая организация (лицо, не оказывающее услуги по передаче электрической энергии), к объектам электросетевого хозяйства которой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обязана обеспечить введение полного и (или) частичного ограничения режима потребления в отношении такого лица.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495"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выявлении факта бездоговорного потребления сетевая организация (лицо, не оказывающее услуги по передаче электрической энергии), к объектам электросетевого хозяйства которой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составляет в соответствии с </w:t>
      </w:r>
      <w:hyperlink w:anchor="Par1220" w:history="1">
        <w:r>
          <w:rPr>
            <w:rFonts w:ascii="Arial" w:hAnsi="Arial" w:cs="Arial"/>
            <w:color w:val="0000FF"/>
            <w:sz w:val="20"/>
            <w:szCs w:val="20"/>
          </w:rPr>
          <w:t>разделом X</w:t>
        </w:r>
      </w:hyperlink>
      <w:r>
        <w:rPr>
          <w:rFonts w:ascii="Arial" w:hAnsi="Arial" w:cs="Arial"/>
          <w:sz w:val="20"/>
          <w:szCs w:val="20"/>
        </w:rPr>
        <w:t xml:space="preserve"> настоящего документа акт о неучтенном потреблении электрической энергии, в котором указывает определяемые в соответствии с </w:t>
      </w:r>
      <w:hyperlink w:anchor="Par3675" w:history="1">
        <w:r>
          <w:rPr>
            <w:rFonts w:ascii="Arial" w:hAnsi="Arial" w:cs="Arial"/>
            <w:color w:val="0000FF"/>
            <w:sz w:val="20"/>
            <w:szCs w:val="20"/>
          </w:rPr>
          <w:t>Правилами</w:t>
        </w:r>
      </w:hyperlink>
      <w:r>
        <w:rPr>
          <w:rFonts w:ascii="Arial" w:hAnsi="Arial" w:cs="Arial"/>
          <w:sz w:val="20"/>
          <w:szCs w:val="20"/>
        </w:rPr>
        <w:t xml:space="preserve"> полного и (или) частичного ограничения режима потребления электрической энергии дату и время введения ограничения режима потребления в отношении такого лица, а также характеристики энергопринимающих устройств, в отношении которых вводится полное ограничение режима потребления.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Постановлений Правительства РФ от 24.05.2017 </w:t>
      </w:r>
      <w:hyperlink r:id="rId496" w:history="1">
        <w:r>
          <w:rPr>
            <w:rFonts w:ascii="Arial" w:hAnsi="Arial" w:cs="Arial"/>
            <w:color w:val="0000FF"/>
            <w:sz w:val="20"/>
            <w:szCs w:val="20"/>
          </w:rPr>
          <w:t>N 624</w:t>
        </w:r>
      </w:hyperlink>
      <w:r>
        <w:rPr>
          <w:rFonts w:ascii="Arial" w:hAnsi="Arial" w:cs="Arial"/>
          <w:sz w:val="20"/>
          <w:szCs w:val="20"/>
        </w:rPr>
        <w:t xml:space="preserve">, от 17.09.2018 </w:t>
      </w:r>
      <w:hyperlink r:id="rId497" w:history="1">
        <w:r>
          <w:rPr>
            <w:rFonts w:ascii="Arial" w:hAnsi="Arial" w:cs="Arial"/>
            <w:color w:val="0000FF"/>
            <w:sz w:val="20"/>
            <w:szCs w:val="20"/>
          </w:rPr>
          <w:t>N 1096</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Абзацы четвертый - шестой утратили силу. - </w:t>
      </w:r>
      <w:hyperlink r:id="rId498" w:history="1">
        <w:r>
          <w:rPr>
            <w:rFonts w:ascii="Arial" w:hAnsi="Arial" w:cs="Arial"/>
            <w:color w:val="0000FF"/>
            <w:sz w:val="20"/>
            <w:szCs w:val="20"/>
          </w:rPr>
          <w:t>Постановление</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122. В установленном настоящим документом порядке осуществляется взаимодействие субъектов розничных рынков, участвующих в обороте электрической энергии, с сетевой организацией в связи с:</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приобретением электрической энергии (мощности) сетевой организацией в целях компенсации фактических потерь электрической энергии в принадлежащих ей объектах электросетевого хозяйства;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499"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07.07.2017 N 810)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осуществлением гарантирующим поставщиком действий по принятию на обслуживание потребителей, энергопринимающие устройства которых расположены в границах зоны его деятельности, в случаях и в порядке перехода потребителей, установленных в </w:t>
      </w:r>
      <w:hyperlink w:anchor="Par180" w:history="1">
        <w:r>
          <w:rPr>
            <w:rFonts w:ascii="Arial" w:hAnsi="Arial" w:cs="Arial"/>
            <w:color w:val="0000FF"/>
            <w:sz w:val="20"/>
            <w:szCs w:val="20"/>
          </w:rPr>
          <w:t>разделе II</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выявлением сетевой организацией фактов безучетного и бездоговорного потребления электрической энергии в соответствии с настоящим документом;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организацией учета электрической энергии на розничном рынке в случаях и в порядке, установленных в </w:t>
      </w:r>
      <w:hyperlink w:anchor="Par1220" w:history="1">
        <w:r>
          <w:rPr>
            <w:rFonts w:ascii="Arial" w:hAnsi="Arial" w:cs="Arial"/>
            <w:color w:val="0000FF"/>
            <w:sz w:val="20"/>
            <w:szCs w:val="20"/>
          </w:rPr>
          <w:t>разделе X</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осуществлением информационного взаимодействия в соответствии с </w:t>
      </w:r>
      <w:hyperlink w:anchor="Par1155" w:history="1">
        <w:r>
          <w:rPr>
            <w:rFonts w:ascii="Arial" w:hAnsi="Arial" w:cs="Arial"/>
            <w:color w:val="0000FF"/>
            <w:sz w:val="20"/>
            <w:szCs w:val="20"/>
          </w:rPr>
          <w:t>пунктами 124</w:t>
        </w:r>
      </w:hyperlink>
      <w:r>
        <w:rPr>
          <w:rFonts w:ascii="Arial" w:hAnsi="Arial" w:cs="Arial"/>
          <w:sz w:val="20"/>
          <w:szCs w:val="20"/>
        </w:rPr>
        <w:t xml:space="preserve"> - </w:t>
      </w:r>
      <w:hyperlink w:anchor="Par1166" w:history="1">
        <w:r>
          <w:rPr>
            <w:rFonts w:ascii="Arial" w:hAnsi="Arial" w:cs="Arial"/>
            <w:color w:val="0000FF"/>
            <w:sz w:val="20"/>
            <w:szCs w:val="20"/>
          </w:rPr>
          <w:t>127</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иных случаях, определенных в настоящем документе.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123. Гарантирующий поставщик (энергосбытовая, энергоснабжающая организация) в установленном в </w:t>
      </w:r>
      <w:hyperlink w:anchor="Par1155" w:history="1">
        <w:r>
          <w:rPr>
            <w:rFonts w:ascii="Arial" w:hAnsi="Arial" w:cs="Arial"/>
            <w:color w:val="0000FF"/>
            <w:sz w:val="20"/>
            <w:szCs w:val="20"/>
          </w:rPr>
          <w:t>пунктах 124</w:t>
        </w:r>
      </w:hyperlink>
      <w:r>
        <w:rPr>
          <w:rFonts w:ascii="Arial" w:hAnsi="Arial" w:cs="Arial"/>
          <w:sz w:val="20"/>
          <w:szCs w:val="20"/>
        </w:rPr>
        <w:t xml:space="preserve"> - </w:t>
      </w:r>
      <w:hyperlink w:anchor="Par1166" w:history="1">
        <w:r>
          <w:rPr>
            <w:rFonts w:ascii="Arial" w:hAnsi="Arial" w:cs="Arial"/>
            <w:color w:val="0000FF"/>
            <w:sz w:val="20"/>
            <w:szCs w:val="20"/>
          </w:rPr>
          <w:t>127</w:t>
        </w:r>
      </w:hyperlink>
      <w:r>
        <w:rPr>
          <w:rFonts w:ascii="Arial" w:hAnsi="Arial" w:cs="Arial"/>
          <w:sz w:val="20"/>
          <w:szCs w:val="20"/>
        </w:rPr>
        <w:t xml:space="preserve"> настоящего документа порядке взаимодействует с сетевой организацией в целях передачи ей информации о заключенных на розничных рынках договорах, обеспечивающих продажу электрической энергии (мощности), о планируемом расторжении договора, обеспечивающего продажу электрической энергии (мощности), а также для энергосбытовой (энергоснабжающей) организации - о возникновении и о прекращении у нее права распоряжения электрической энергией, поставляемой потребителям на розничном рынке.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33" w:name="Par1155"/>
      <w:bookmarkEnd w:id="133"/>
      <w:r>
        <w:rPr>
          <w:rFonts w:ascii="Arial" w:hAnsi="Arial" w:cs="Arial"/>
          <w:sz w:val="20"/>
          <w:szCs w:val="20"/>
        </w:rPr>
        <w:t>124. В случае заключения потребителем договора купли-продажи (поставки) электрической энергии (мощности) сведения о заключенном договоре предоставляются в адрес сетевой организации гарантирующим поставщиком (энергосбытовой, энергоснабжающей организацией) путем направления ей соответствующего уведомления в течение 3 рабочих дней со дня заключения договора способом, позволяющим подтвердить факт и дату получения указанного уведомления, а также потребителем - при его обращении в адрес сетевой организации для заключения договора оказания услуг по передаче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заключения потребителем договора энергоснабжения сведения о заключенном договоре и иные сведения, указанные в </w:t>
      </w:r>
      <w:hyperlink r:id="rId500" w:history="1">
        <w:r>
          <w:rPr>
            <w:rFonts w:ascii="Arial" w:hAnsi="Arial" w:cs="Arial"/>
            <w:color w:val="0000FF"/>
            <w:sz w:val="20"/>
            <w:szCs w:val="20"/>
          </w:rPr>
          <w:t>Правилах</w:t>
        </w:r>
      </w:hyperlink>
      <w:r>
        <w:rPr>
          <w:rFonts w:ascii="Arial" w:hAnsi="Arial" w:cs="Arial"/>
          <w:sz w:val="20"/>
          <w:szCs w:val="20"/>
        </w:rPr>
        <w:t xml:space="preserve"> недискриминационного доступа к услугам по передаче электрической энергии и оказания этих услуг, предоставляются в адрес сетевой организации гарантирующим поставщиком (энергосбытовой, энергоснабжающей организацией) при его (ее) обращении в сетевую организацию для заключения договора оказания услуг по передаче электрической энергии в интересах такого потребителя либо для внесения изменений в договор оказания услуг по передаче электрической энергии, заключенный ранее между таким гарантирующим поставщиком (энергосбытовой, энергоснабжающей организацией) и сетевой организацией.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Если гарантирующий поставщик (энергосбытовая, энергоснабжающая организация) после заключения договора энергоснабжения с потребителем (покупателем) не обратился в сетевую организацию для заключения договора оказания услуг по передаче электрической энергии, и приступил к исполнению договора энергоснабжения, то он несет в соответствии с гражданским законодательством Российской Федерации и настоящим документом ответственность за пользование услугами по передаче электрической энергии без договора оказания услуг по передаче электрической энергии. В этом случае гарантирующий поставщик (энергосбытовая, энергоснабжающая организация) обязан оплатить сетевой организации стоимость услуг по передаче электрической энергии потребителю (покупателю), обслуживаемому на основании договора энергоснабжения, а также отвечает перед потребителем (покупателем) по договору энергоснабжения за последствия прекращения сетевой организацией предоставления услуг по передаче электрической энергии в связи с отсутствием у нее сведений о наличии заключенного договора энергоснабжения и договора оказания услуг по передаче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125. Гарантирующий поставщик (энергосбытовая, энергоснабжающая организация) предоставляет сетевой организации информацию о потребителях, с которыми за период, истекший с даты последней передачи информации, заключены или расторгнуты договоры энергоснабжения (купли-продажи (поставки) электрической энергии (мощности)) в целях ее использования при выявлении фактов осуществления потребителями бездоговорного потребления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Такая информация должна содержать наименование и адрес места нахождения энергопринимающих устройств указанных потребителей, дату, начиная с которой с ними заключен или расторгнут договор, а также дату, с которой начинается или прекращается снабжение их электрической энергией по таким договорам, а для энергосбытовой (энергоснабжающей) организации - также соответствующую требованиям </w:t>
      </w:r>
      <w:hyperlink w:anchor="Par539" w:history="1">
        <w:r>
          <w:rPr>
            <w:rFonts w:ascii="Arial" w:hAnsi="Arial" w:cs="Arial"/>
            <w:color w:val="0000FF"/>
            <w:sz w:val="20"/>
            <w:szCs w:val="20"/>
          </w:rPr>
          <w:t>пункта 56</w:t>
        </w:r>
      </w:hyperlink>
      <w:r>
        <w:rPr>
          <w:rFonts w:ascii="Arial" w:hAnsi="Arial" w:cs="Arial"/>
          <w:sz w:val="20"/>
          <w:szCs w:val="20"/>
        </w:rPr>
        <w:t xml:space="preserve"> настоящего документа информацию о дате и времени возникновения и прекращения у нее права распоряжения электрической энергией, поставляемой в точках поставки по договору, обеспечивающему продажу электрической энергии (мощности), на весь или часть объема электрической энергии (мощности), подлежащего в соответствии с </w:t>
      </w:r>
      <w:hyperlink w:anchor="Par525" w:history="1">
        <w:r>
          <w:rPr>
            <w:rFonts w:ascii="Arial" w:hAnsi="Arial" w:cs="Arial"/>
            <w:color w:val="0000FF"/>
            <w:sz w:val="20"/>
            <w:szCs w:val="20"/>
          </w:rPr>
          <w:t>пунктом 55</w:t>
        </w:r>
      </w:hyperlink>
      <w:r>
        <w:rPr>
          <w:rFonts w:ascii="Arial" w:hAnsi="Arial" w:cs="Arial"/>
          <w:sz w:val="20"/>
          <w:szCs w:val="20"/>
        </w:rPr>
        <w:t xml:space="preserve"> настоящего документа продаже потребителю (покупателю) по такому договору.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Указанная информация предоставляется в электронном виде ежеквартально, не позднее последнего числа месяца, следующего за очередным кварталом, а в письменном виде - 1 раз в год. Передаваемая информация должна быть защищена от изменения, заверена подписью уполномоченного лица и печатью гарантирующего поставщика (энергосбытовой, энергоснабжающей организации) при наличии печати.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501"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126. Гарантирующий поставщик (энергосбытовая, энергоснабжающая организация) обязан не позднее 3 рабочих дней до даты и времени расторжения договора энергоснабжения уведомить об этом, а также о дате и времени прекращения снабжения электрической энергией по такому договору сетевую организацию, оказывающую услугу по передаче электрической энергии в отношении энергопринимающих устройств по такому договору.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невыполнения гарантирующим поставщиком (энергосбытовой, энергоснабжающей организацией) указанной обязанности: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сетевая организация продолжает оказывать услуги по передаче электрической энергии до получения от гарантирующего поставщика (энергосбытовой, энергоснабжающей организации) такого уведомления, а если уведомление получено менее чем за 3 рабочих дня до указанных в нем даты и времени прекращения снабжения электрической энергией, то до истечения 3 рабочих дней с даты и времени получения сетевой организацией такого уведомления;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гарантирующий поставщик (энергосбытовая, энергоснабжающая организация) обязан компенсировать сетевой организации стоимость оказанных ею услуг по передаче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34" w:name="Par1166"/>
      <w:bookmarkEnd w:id="134"/>
      <w:r>
        <w:rPr>
          <w:rFonts w:ascii="Arial" w:hAnsi="Arial" w:cs="Arial"/>
          <w:sz w:val="20"/>
          <w:szCs w:val="20"/>
        </w:rPr>
        <w:t>127. Если потребитель (покупатель), заключивший с гарантирующим поставщиком (энергосбытовой, энергоснабжающей организацией) договор купли-продажи (поставки) электрической энергии (мощности), не обратился в сетевую организацию для заключения договора оказания услуг по передаче электрической энергии, то исполнение по договору купли-продажи (поставки) электрической энергии не начинается. Если при этом потребитель, который или в интересах которого заключен договор купли-продажи (поставки) электрической энергии (мощности), до заключения и начала исполнения договора оказания услуг по передаче электрической энергии приступил к потреблению электрической энергии, то такой потребитель несет ответственность за бездоговорное потребление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Если потребитель, заключивший договор купли-продажи (поставки) электрической энергии (мощности), не уведомил или позднее 3 рабочих дней до даты и времени прекращения снабжения электрической энергией уведомил сетевую организацию о намерении расторгнуть такой договор, а также о дате и времени прекращения снабжения электрической энергией по нему: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сетевая организация продолжает оказывать услуги по передаче электрической энергии до получения от потребителя такого уведомления, а если уведомление получено менее чем за 3 рабочих дня до указанных в нем даты и времени прекращения снабжения электрической энергией, - то до истечения 3 рабочих дней с даты и времени получения сетевой организацией такого уведомления;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потребитель обязан компенсировать стоимость оказанных сетевой организацией услуг по передаче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128. Фактические потери электрической энергии в объектах электросетевого хозяйства приобретаются и оплачиваются сетевыми организациями, в объектах электросетевого хозяйства которых возникли такие потери, путем приобретения электрической энергии (мощности) у гарантирующего поставщика по договору купли-продажи (поставки) электрической энергии (мощности), заключенному в порядке и на условиях, указанных в </w:t>
      </w:r>
      <w:hyperlink w:anchor="Par295" w:history="1">
        <w:r>
          <w:rPr>
            <w:rFonts w:ascii="Arial" w:hAnsi="Arial" w:cs="Arial"/>
            <w:color w:val="0000FF"/>
            <w:sz w:val="20"/>
            <w:szCs w:val="20"/>
          </w:rPr>
          <w:t>разделе III</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502"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07.07.2017 N 810)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этом на территориях субъектов Российской Федерации, объединенных в ценовые или неценовые зоны оптового рынка, сетевые организации, к объектам электросетевого хозяйства которых непосредственно присоединены квалифицированные генерирующие объекты, а также сетевые организации, в отношении которых в сводном прогнозном балансе производства и поставок электрической энергии (мощности) на соответствующий период регулирования определены наибольшие величины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такие генерирующие объекты, в первую очередь приобретают </w:t>
      </w:r>
      <w:r>
        <w:rPr>
          <w:rFonts w:ascii="Arial" w:hAnsi="Arial" w:cs="Arial"/>
          <w:sz w:val="20"/>
          <w:szCs w:val="20"/>
        </w:rPr>
        <w:lastRenderedPageBreak/>
        <w:t xml:space="preserve">электрическую энергию (мощность) в целях компенсации потерь в объектах электросетевого хозяйства, расположенных в зоне деятельности такого гарантирующего поставщика, у производителей электрической энергии (мощности) на розничных рынках, произведенной на квалифицированных генерирующих объектах, расположенных в той же зоне деятельности, на основании договоров купли-продажи (поставки) электрической энергии (мощности), заключенных с такими производителями в порядке и на условиях, указанных в </w:t>
      </w:r>
      <w:hyperlink w:anchor="Par612" w:history="1">
        <w:r>
          <w:rPr>
            <w:rFonts w:ascii="Arial" w:hAnsi="Arial" w:cs="Arial"/>
            <w:color w:val="0000FF"/>
            <w:sz w:val="20"/>
            <w:szCs w:val="20"/>
          </w:rPr>
          <w:t>пункте 65(1)</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оборудования сетевой организацией всех своих объектов электросетевого хозяйства, указанных в настоящем абзаце, приборами учета, позволяющими измерять почасовые объемы электрической энергии, потребленной всеми энергопринимающими устройствами, присоединенными к объектам электросетевого хозяйства данной сетевой организации, принятой в объекты электросетевого хозяйства данной сетевой организации, а также отпущенной из объектов электросетевого хозяйства такой сетевой организации в объекты электросетевого хозяйства смежных сетевых организаций, такая сетевая организация вправе для целей компенсации потерь электрической энергии приобретать электрическую энергию (мощность) по договору, предусмотренному </w:t>
      </w:r>
      <w:hyperlink w:anchor="Par575" w:history="1">
        <w:r>
          <w:rPr>
            <w:rFonts w:ascii="Arial" w:hAnsi="Arial" w:cs="Arial"/>
            <w:color w:val="0000FF"/>
            <w:sz w:val="20"/>
            <w:szCs w:val="20"/>
          </w:rPr>
          <w:t>абзацем четвертым пункта 64</w:t>
        </w:r>
      </w:hyperlink>
      <w:r>
        <w:rPr>
          <w:rFonts w:ascii="Arial" w:hAnsi="Arial" w:cs="Arial"/>
          <w:sz w:val="20"/>
          <w:szCs w:val="20"/>
        </w:rPr>
        <w:t xml:space="preserve"> настоящего документа, в соответствии с требованиями </w:t>
      </w:r>
      <w:hyperlink w:anchor="Par596" w:history="1">
        <w:r>
          <w:rPr>
            <w:rFonts w:ascii="Arial" w:hAnsi="Arial" w:cs="Arial"/>
            <w:color w:val="0000FF"/>
            <w:sz w:val="20"/>
            <w:szCs w:val="20"/>
          </w:rPr>
          <w:t>пункта 65</w:t>
        </w:r>
      </w:hyperlink>
      <w:r>
        <w:rPr>
          <w:rFonts w:ascii="Arial" w:hAnsi="Arial" w:cs="Arial"/>
          <w:sz w:val="20"/>
          <w:szCs w:val="20"/>
        </w:rPr>
        <w:t xml:space="preserve"> настоящего документа у иных производителей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При этом такой договор заключается сетевой организацией с указанным производителем в отношении всех объектов электросетевого хозяйства сетевой организации,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 договором исполняются обязательства по поставке электрической энергии (мощности) таким производителем.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Фактические потери электрической энергии в объектах электросетевого хозяйства, приобретаемые сетевой организацией в соответствии с настоящим пунктом у гарантирующего поставщика, подлежат уменьшению на объемы электрической энергии (мощности), приобретаемой сетевой организацией в целях компенсации потерь электрической энергии у производителей электрической энергии (мощности) на розничных рынках.</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503"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07.07.2017 N 810)</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128 в ред. </w:t>
      </w:r>
      <w:hyperlink r:id="rId504"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23.01.2015 N 47)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129. Потери электрической энергии, возникающие в принадлежащих иным владельцам объектов электросетевого хозяйства объектах электросетевого хозяйства, приравниваются к потреблению электрической энергии и оплачиваются иными владельцами в рамках заключенных ими договоров, обеспечивающих продажу электрической энергии (мощности) на розничных рынках, с учетом оплаты стоимости услуг по передаче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этом определение объема потребления электрической энергии объектами электросетевого хозяйства иных владельцев осуществляется в порядке, установленном </w:t>
      </w:r>
      <w:hyperlink w:anchor="Par1220" w:history="1">
        <w:r>
          <w:rPr>
            <w:rFonts w:ascii="Arial" w:hAnsi="Arial" w:cs="Arial"/>
            <w:color w:val="0000FF"/>
            <w:sz w:val="20"/>
            <w:szCs w:val="20"/>
          </w:rPr>
          <w:t>разделом X</w:t>
        </w:r>
      </w:hyperlink>
      <w:r>
        <w:rPr>
          <w:rFonts w:ascii="Arial" w:hAnsi="Arial" w:cs="Arial"/>
          <w:sz w:val="20"/>
          <w:szCs w:val="20"/>
        </w:rPr>
        <w:t xml:space="preserve"> настоящего документа, а в случае непредставления показаний, двукратного недопуска для целей проведения проверки или отсутствия приборов учета на границе таких объектов электросетевого хозяйства определение объемов потребления электрической энергии осуществляется в соответствии с </w:t>
      </w:r>
      <w:hyperlink w:anchor="Par1220" w:history="1">
        <w:r>
          <w:rPr>
            <w:rFonts w:ascii="Arial" w:hAnsi="Arial" w:cs="Arial"/>
            <w:color w:val="0000FF"/>
            <w:sz w:val="20"/>
            <w:szCs w:val="20"/>
          </w:rPr>
          <w:t>разделом X</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505"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18.04.2020 N 554)</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129 в ред. </w:t>
      </w:r>
      <w:hyperlink r:id="rId506"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07.07.2017 N 810)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130. При отсутствии заключенного в письменной форме договора о приобретении электрической энергии (мощности) для целей компенсации потерь электрической энергии или договора, обеспечивающего продажу электрической энергии (мощности) на розничных рынках, сетевые организации (иные владельцы объектов электросетевого хозяйства) оплачивают стоимость электрической энергии в объеме фактических потерь электрической энергии гарантирующему поставщику, в границах зоны деятельности которого расположены объекты электросетевого хозяйства сетевой организации (иного владельца объектов электросетевого хозяйства).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130 в ред. </w:t>
      </w:r>
      <w:hyperlink r:id="rId507"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07.07.2017 N 810)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131. Взаимодействие субъектов розничных рынков с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 осуществляется в соответствии с </w:t>
      </w:r>
      <w:hyperlink r:id="rId508" w:history="1">
        <w:r>
          <w:rPr>
            <w:rFonts w:ascii="Arial" w:hAnsi="Arial" w:cs="Arial"/>
            <w:color w:val="0000FF"/>
            <w:sz w:val="20"/>
            <w:szCs w:val="20"/>
          </w:rPr>
          <w:t>Правилами</w:t>
        </w:r>
      </w:hyperlink>
      <w:r>
        <w:rPr>
          <w:rFonts w:ascii="Arial" w:hAnsi="Arial" w:cs="Arial"/>
          <w:sz w:val="20"/>
          <w:szCs w:val="20"/>
        </w:rPr>
        <w:t xml:space="preserve"> недискриминационного доступа к услугам по оперативно-диспетчерскому управлению в электроэнергетике и оказания этих услуг, а также </w:t>
      </w:r>
      <w:hyperlink r:id="rId509" w:history="1">
        <w:r>
          <w:rPr>
            <w:rFonts w:ascii="Arial" w:hAnsi="Arial" w:cs="Arial"/>
            <w:color w:val="0000FF"/>
            <w:sz w:val="20"/>
            <w:szCs w:val="20"/>
          </w:rPr>
          <w:t>Правилами</w:t>
        </w:r>
      </w:hyperlink>
      <w:r>
        <w:rPr>
          <w:rFonts w:ascii="Arial" w:hAnsi="Arial" w:cs="Arial"/>
          <w:sz w:val="20"/>
          <w:szCs w:val="20"/>
        </w:rPr>
        <w:t xml:space="preserve"> оперативно-диспетчерского управления в электроэнергетике, иными нормативными правовыми актами и настоящим документом.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132. В установленном настоящим документом порядке осуществляется взаимодействие субъектов розничных рынков, участвующих в обороте электрической энергии, с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связи с осуществлением информационного взаимодействия в соответствии с </w:t>
      </w:r>
      <w:hyperlink w:anchor="Par1188" w:history="1">
        <w:r>
          <w:rPr>
            <w:rFonts w:ascii="Arial" w:hAnsi="Arial" w:cs="Arial"/>
            <w:color w:val="0000FF"/>
            <w:sz w:val="20"/>
            <w:szCs w:val="20"/>
          </w:rPr>
          <w:t>пунктами 133</w:t>
        </w:r>
      </w:hyperlink>
      <w:r>
        <w:rPr>
          <w:rFonts w:ascii="Arial" w:hAnsi="Arial" w:cs="Arial"/>
          <w:sz w:val="20"/>
          <w:szCs w:val="20"/>
        </w:rPr>
        <w:t xml:space="preserve"> - </w:t>
      </w:r>
      <w:hyperlink w:anchor="Par1205" w:history="1">
        <w:r>
          <w:rPr>
            <w:rFonts w:ascii="Arial" w:hAnsi="Arial" w:cs="Arial"/>
            <w:color w:val="0000FF"/>
            <w:sz w:val="20"/>
            <w:szCs w:val="20"/>
          </w:rPr>
          <w:t>134</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связи с необходимостью проведения в соответствии с </w:t>
      </w:r>
      <w:hyperlink w:anchor="Par1211" w:history="1">
        <w:r>
          <w:rPr>
            <w:rFonts w:ascii="Arial" w:hAnsi="Arial" w:cs="Arial"/>
            <w:color w:val="0000FF"/>
            <w:sz w:val="20"/>
            <w:szCs w:val="20"/>
          </w:rPr>
          <w:t>пунктом 135</w:t>
        </w:r>
      </w:hyperlink>
      <w:r>
        <w:rPr>
          <w:rFonts w:ascii="Arial" w:hAnsi="Arial" w:cs="Arial"/>
          <w:sz w:val="20"/>
          <w:szCs w:val="20"/>
        </w:rPr>
        <w:t xml:space="preserve"> настоящего документа на объектах электроэнергетики замеров потокораспределения, нагрузок и уровней напряжения и предоставления результатов проведенных замеров в диспетчерские центры системного оператора;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иных случаях, определенных в настоящем документе.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35" w:name="Par1188"/>
      <w:bookmarkEnd w:id="135"/>
      <w:r>
        <w:rPr>
          <w:rFonts w:ascii="Arial" w:hAnsi="Arial" w:cs="Arial"/>
          <w:sz w:val="20"/>
          <w:szCs w:val="20"/>
        </w:rPr>
        <w:t>133. В целях планирования и управления электроэнергетическим режимом работы Единой энергетической системы России (технологически изолированной территориальной электроэнергетической системы) производители электрической энергии (мощности) на розничных рынках, осуществляющие свою деятельность с использованием электростанций, функционирующих в составе соответствующей электроэнергетической системы, независимо от величины установленной генерирующей мощности электростанций предоставляют в диспетчерские центры системного оператора (субъекта оперативно-диспетчерского управления в технологически изолированной территориальной электроэнергетической системе) в отношении каждой электростанции: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510"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23.01.2015 N 47)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информацию о величине установленной генерирующей мощности электростанции и располагаемой мощности электростанции в следующем году с разбивкой по месяцам года (для электростанций установленной генерирующей мощностью 5 МВт и более - также с разбивкой по каждой единице генерирующего оборудования) - ежегодно, до 1 июля;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сведения об изменении установленной генерирующей мощности электростанции, в том числе в результате ввода в эксплуатацию (вывода из эксплуатации) электростанции (энергоблока) и (или) энергетического оборудования электростанции либо его перемаркировки, с приложением подтверждающих такие изменения документов - в течение 10 дней со дня такого изменения (наступления обстоятельств, повлекших такое изменение);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информацию о фактической выработке электрической энергии за прошедший месяц - до 7-го числа следующего месяца. Производители электрической энергии (мощности) на розничных рынках, осуществляющие свою деятельность с использованием электростанций установленной генерирующей мощностью 5 МВт и более, наряду с указанной информацией предоставляют в диспетчерские центры системного оператора (субъекта оперативно-диспетчерского управления в технологически изолированной территориальной электроэнергетической системе) в отношении каждой электростанции: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511"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23.01.2015 N 47)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данные коммерческого учета электрической энергии за прошедший месяц - до 7-го числа следующего месяца в согласованном с системным оператором (субъектом оперативно-диспетчерского управления в технологически изолированной территориальной электроэнергетической системе) формате;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информацию о величине минимальной и максимальной реактивной мощности оборудования электростанции - ежегодно, до 1 июля, а в случае изменения предоставленных данных - в течение 10 дней со дня такого изменения (наступления обстоятельств, повлекших изменение);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информацию о планах по строительству, реконструкции, вводу в эксплуатацию, выводу из эксплуатации объектов по производству электрической энергии (мощности) на предстоящие 7 лет - ежегодно, до 1 июля.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Информация о фактической выработке электрической энергии за прошедший месяц предоставляется такими производителями с указанием суммарных объемов электрической энергии, продаваемых ими на розничных рынках по договорам с гарантирующим поставщиком, договорам с иными покупателями электрической энергии, а также с указанием объемов потребления электрической энергии для удовлетворения собственных производственных нужд.</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512"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23.01.2015 N 47)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Производители электрической энергии (мощности) на розничных рынках, осуществляющие свою деятельность с использованием функционирующих в составе Единой энергетической системы России электростанций установленной генерирующей мощностью 5 МВт и более, также предоставляют в диспетчерские центры системного оператора в отношении каждой электростанции: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513"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23.01.2015 N 47)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плановые почасовые графики нагрузки генерирующего оборудования на соответствующие сутки и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минимум, технологический минимум) - не позднее 24 часов до начала суток, в течение которых осуществляется производство (поставка) электрической энергии, для каждого часа указанных суток (с указанием суммарных объемов электрической энергии, продаваемых ими по договорам с гарантирующим поставщиком и договорам с иными покупателями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информацию о фактической выработке электрической энергии за прошедшие сутки - до 7-00 часов следующих суток.</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Производители электрической энергии (мощности) на розничных рынках, осуществляющие свою деятельность с использованием функционирующих в составе Единой энергетической системы России электростанций установленной генерирующей мощностью 25 МВт и более, наряду с указанной информацией предоставляют в диспетчерские центры системного оператора в отношении каждой такой электростанции плановые почасовые графики нагрузки генерирующего оборудования и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минимум, технологический минимум), не позднее 48 часов до начала определяемого в соответствии с </w:t>
      </w:r>
      <w:hyperlink r:id="rId514" w:history="1">
        <w:r>
          <w:rPr>
            <w:rFonts w:ascii="Arial" w:hAnsi="Arial" w:cs="Arial"/>
            <w:color w:val="0000FF"/>
            <w:sz w:val="20"/>
            <w:szCs w:val="20"/>
          </w:rPr>
          <w:t>Правилами</w:t>
        </w:r>
      </w:hyperlink>
      <w:r>
        <w:rPr>
          <w:rFonts w:ascii="Arial" w:hAnsi="Arial" w:cs="Arial"/>
          <w:sz w:val="20"/>
          <w:szCs w:val="20"/>
        </w:rPr>
        <w:t xml:space="preserve"> оптового рынка электрической энергии и мощности, утвержденными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периода, в отношении которого системным оператором осуществляется выбор состава включенного генерирующего оборудования на указанный период.</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515"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13.08.2018 N 937)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36" w:name="Par1205"/>
      <w:bookmarkEnd w:id="136"/>
      <w:r>
        <w:rPr>
          <w:rFonts w:ascii="Arial" w:hAnsi="Arial" w:cs="Arial"/>
          <w:sz w:val="20"/>
          <w:szCs w:val="20"/>
        </w:rPr>
        <w:t xml:space="preserve">134. При планировании и управлении электроэнергетическим режимом работы энергосистемы системный оператор учитывает плановые почасовые графики нагрузки электростанций производителей электрической энергии (мощности) на розничных рынках, полученные от них в соответствии с </w:t>
      </w:r>
      <w:hyperlink w:anchor="Par1188" w:history="1">
        <w:r>
          <w:rPr>
            <w:rFonts w:ascii="Arial" w:hAnsi="Arial" w:cs="Arial"/>
            <w:color w:val="0000FF"/>
            <w:sz w:val="20"/>
            <w:szCs w:val="20"/>
          </w:rPr>
          <w:t>пунктом 133</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516"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23.01.2015 N 47)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возникновения (угрозы возникновения) аварийного электроэнергетического режима в работе энергосистемы производитель электрической энергии (мощности) на розничном рынке корректирует график нагрузки электростанции и осуществляют загрузку (разгрузку) генерирующего оборудования в соответствии с диспетчерской командой (распоряжением) системного оператора.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517"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23.01.2015 N 47)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Планирование и управление электроэнергетическим режимом энергосистемы осуществляется системным оператором в соответствии с </w:t>
      </w:r>
      <w:hyperlink r:id="rId518" w:history="1">
        <w:r>
          <w:rPr>
            <w:rFonts w:ascii="Arial" w:hAnsi="Arial" w:cs="Arial"/>
            <w:color w:val="0000FF"/>
            <w:sz w:val="20"/>
            <w:szCs w:val="20"/>
          </w:rPr>
          <w:t>Правилами</w:t>
        </w:r>
      </w:hyperlink>
      <w:r>
        <w:rPr>
          <w:rFonts w:ascii="Arial" w:hAnsi="Arial" w:cs="Arial"/>
          <w:sz w:val="20"/>
          <w:szCs w:val="20"/>
        </w:rPr>
        <w:t xml:space="preserve"> технологического функционирования электроэнергетических систем, утвержденными постановлением Правительства Российской Федерации от 13 августа 2018 г. N 937 "Об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 и </w:t>
      </w:r>
      <w:hyperlink r:id="rId519" w:history="1">
        <w:r>
          <w:rPr>
            <w:rFonts w:ascii="Arial" w:hAnsi="Arial" w:cs="Arial"/>
            <w:color w:val="0000FF"/>
            <w:sz w:val="20"/>
            <w:szCs w:val="20"/>
          </w:rPr>
          <w:t>Правилами</w:t>
        </w:r>
      </w:hyperlink>
      <w:r>
        <w:rPr>
          <w:rFonts w:ascii="Arial" w:hAnsi="Arial" w:cs="Arial"/>
          <w:sz w:val="20"/>
          <w:szCs w:val="20"/>
        </w:rPr>
        <w:t xml:space="preserve"> оперативно-диспетчерского управления в электроэнергетике, утвержденными постановлением Правительства Российской Федерации от 27 декабря 2004 г. N 854 "Об утверждении Правил оперативно-диспетчерского управления в электроэнергетике".</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520"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13.08.2018 N 937)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37" w:name="Par1211"/>
      <w:bookmarkEnd w:id="137"/>
      <w:r>
        <w:rPr>
          <w:rFonts w:ascii="Arial" w:hAnsi="Arial" w:cs="Arial"/>
          <w:sz w:val="20"/>
          <w:szCs w:val="20"/>
        </w:rPr>
        <w:t>135. Субъекты электроэнергетики, собственники или иные законные владельцы объектов электроэнергетики и энергопринимающих устройств, кроме населения, обязаны регулярно проводить на объектах электроэнергетики замеры потокораспределения, нагрузок и уровней напряжения.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По заданию диспетчерских центров системного оператора субъекты электроэнергетики осуществляют проведение на объектах электроэнергетики следующих замеров потокораспределения, нагрузок и уровней напряжения: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контрольные замеры - 2 раза в год в третью среду июня и третью среду декабря;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внеочередные замеры нагрузок по присоединениям и энергопринимающим устройствам, подключенным под действие противоаварийной автоматики и (или) включенным в графики аварийного ограничения режима потребления электрической энергии (мощности) - не чаще чем 1 раз в месяц;</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иные замеры - не чаще чем 1 раз в квартал.</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Сетевые организации также организуют проведение собственниками или иными законными владельцами объектов электроэнергетики и энергопринимающих устройств указанных замеров на технологически присоединенных к электрическим сетям данных сетевых организаций объектах электросетевого хозяйства смежных сетевых организаций и энергопринимающих устройствах потребителей, если договором не предусмотрено, что указанные действия осуществляет сетевая организация. При получении от сетевой организации требования о проведении указанных замеров в соответствии с заданием системного оператора смежные сетевые организации и потребители обязаны обеспечить проведение этих замеров на принадлежащих им объектах (устройствах), в том числе обеспечить беспрепятственный доступ уполномоченных лиц сетевой организации к соответствующим объектам электросетевого хозяйства (энергопринимающим устройствам) и возможность временной (на период проведения замера) установки на них средств измерений, позволяющих измерять почасовые объемы потребления электрической энергии, и (или) провести соответствующие измерения самостоятельно. Субъекты электроэнергетики предоставляют результаты проведенных ими контрольных и внеочередных замеров (сетевые организации - также результаты организованных ими замеров на объектах смежных сетевых организаций и потребителей) в диспетчерские центры системного оператора в установленном им формате в течение 10 рабочих дней со дня проведения соответствующего замера.</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tbl>
      <w:tblPr>
        <w:tblW w:w="5000" w:type="pct"/>
        <w:jc w:val="center"/>
        <w:tblLayout w:type="fixed"/>
        <w:tblCellMar>
          <w:top w:w="113" w:type="dxa"/>
          <w:left w:w="113" w:type="dxa"/>
          <w:bottom w:w="113" w:type="dxa"/>
          <w:right w:w="113" w:type="dxa"/>
        </w:tblCellMar>
        <w:tblLook w:val="0000" w:firstRow="0" w:lastRow="0" w:firstColumn="0" w:lastColumn="0" w:noHBand="0" w:noVBand="0"/>
      </w:tblPr>
      <w:tblGrid>
        <w:gridCol w:w="10433"/>
      </w:tblGrid>
      <w:tr w:rsidR="009F5AFE">
        <w:trPr>
          <w:jc w:val="center"/>
        </w:trPr>
        <w:tc>
          <w:tcPr>
            <w:tcW w:w="5000" w:type="pct"/>
            <w:tcBorders>
              <w:left w:val="single" w:sz="24" w:space="0" w:color="CED3F1"/>
              <w:right w:val="single" w:sz="24" w:space="0" w:color="F4F3F8"/>
            </w:tcBorders>
            <w:shd w:val="clear" w:color="auto" w:fill="F4F3F8"/>
          </w:tcPr>
          <w:p w:rsidR="009F5AFE" w:rsidRDefault="009F5AFE">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9F5AFE" w:rsidRDefault="009F5AFE">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Используемые на 01.07.2020 приборы учета электроэнергии (измерительные трансформаторы), не соответствующие требованиям разд. X (в ред. Постановления Правительства РФ от 18.04.2020 N 554) </w:t>
            </w:r>
            <w:hyperlink r:id="rId521" w:history="1">
              <w:r>
                <w:rPr>
                  <w:rFonts w:ascii="Arial" w:hAnsi="Arial" w:cs="Arial"/>
                  <w:color w:val="0000FF"/>
                  <w:sz w:val="20"/>
                  <w:szCs w:val="20"/>
                </w:rPr>
                <w:t>используются</w:t>
              </w:r>
            </w:hyperlink>
            <w:r>
              <w:rPr>
                <w:rFonts w:ascii="Arial" w:hAnsi="Arial" w:cs="Arial"/>
                <w:color w:val="392C69"/>
                <w:sz w:val="20"/>
                <w:szCs w:val="20"/>
              </w:rPr>
              <w:t xml:space="preserve"> до истечения межповерочного интервала или срока эксплуатации.</w:t>
            </w:r>
          </w:p>
        </w:tc>
      </w:tr>
    </w:tbl>
    <w:p w:rsidR="009F5AFE" w:rsidRDefault="009F5AFE" w:rsidP="009F5AFE">
      <w:pPr>
        <w:keepNext w:val="0"/>
        <w:keepLines w:val="0"/>
        <w:autoSpaceDE w:val="0"/>
        <w:autoSpaceDN w:val="0"/>
        <w:adjustRightInd w:val="0"/>
        <w:spacing w:before="260" w:line="240" w:lineRule="auto"/>
        <w:jc w:val="center"/>
        <w:rPr>
          <w:rFonts w:ascii="Arial" w:eastAsiaTheme="minorHAnsi" w:hAnsi="Arial" w:cs="Arial"/>
          <w:color w:val="auto"/>
          <w:sz w:val="20"/>
          <w:szCs w:val="20"/>
        </w:rPr>
      </w:pPr>
      <w:bookmarkStart w:id="138" w:name="Par1220"/>
      <w:bookmarkEnd w:id="138"/>
      <w:r>
        <w:rPr>
          <w:rFonts w:ascii="Arial" w:eastAsiaTheme="minorHAnsi" w:hAnsi="Arial" w:cs="Arial"/>
          <w:color w:val="auto"/>
          <w:sz w:val="20"/>
          <w:szCs w:val="20"/>
        </w:rPr>
        <w:t>X. Правила организации учета электрической энергии</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на розничных рынках</w:t>
      </w: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(в ред. </w:t>
      </w:r>
      <w:hyperlink r:id="rId522"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18.04.2020 N 554)</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bookmarkStart w:id="139" w:name="Par1224"/>
      <w:bookmarkEnd w:id="139"/>
      <w:r>
        <w:rPr>
          <w:rFonts w:ascii="Arial" w:hAnsi="Arial" w:cs="Arial"/>
          <w:sz w:val="20"/>
          <w:szCs w:val="20"/>
        </w:rPr>
        <w:t>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отсутствии, выходе из строя, утрате, истечении срока эксплуатации или истечении интервала между поверками приборов учета электрической энергии и (или) иного оборудования, которые используются для коммерческого учета электрической энергии (мощности), в том числе не принадлежащих сетевой организации (гарантирующему поставщику);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процессе технологического присоединения энергопринимающих устройств (объектов электросетевого хозяйства, объектов по производству электрической энергии (мощности), за исключением установленных Федеральным </w:t>
      </w:r>
      <w:hyperlink r:id="rId523" w:history="1">
        <w:r>
          <w:rPr>
            <w:rFonts w:ascii="Arial" w:hAnsi="Arial" w:cs="Arial"/>
            <w:color w:val="0000FF"/>
            <w:sz w:val="20"/>
            <w:szCs w:val="20"/>
          </w:rPr>
          <w:t>законом</w:t>
        </w:r>
      </w:hyperlink>
      <w:r>
        <w:rPr>
          <w:rFonts w:ascii="Arial" w:hAnsi="Arial" w:cs="Arial"/>
          <w:sz w:val="20"/>
          <w:szCs w:val="20"/>
        </w:rPr>
        <w:t xml:space="preserve"> "Об электроэнергетике" случаев оснащения вводимых в эксплуатацию многоквартирных жилых домов индивидуальными, общими (для коммунальной квартиры) и коллективными (общедомовыми) приборами учета электрической энергии, которые обеспечивают возможность их присоединения к интеллектуальным системам учета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Сетевые организации обеспечивают коммерческий учет электрической энергии (мощности) в отношении непосредственно или опосредованно присоединенных к принадлежащим им на праве собственности или ином законном основании объектам электросетевого хозяйства, энергопринимающих </w:t>
      </w:r>
      <w:r>
        <w:rPr>
          <w:rFonts w:ascii="Arial" w:hAnsi="Arial" w:cs="Arial"/>
          <w:sz w:val="20"/>
          <w:szCs w:val="20"/>
        </w:rPr>
        <w:lastRenderedPageBreak/>
        <w:t>устройств потребителей электрической энергии (мощности) (за исключением установки и замены коллективных (общедомовых) приборов учета электрической энергии), приобретающих электрическую энергию на розничных рынках, объектов по производству электрической энергии (мощности) на розничных рынках и объектов электросетевого хозяйства.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этом соответствующие обязанности в точках присоединения объектов электросетевого хозяйства одной сетевой организации к объектам электросетевого хозяйства другой сетевой организации, если иное не установлено соглашением между такими сетевыми организациями, возлагаются на ту сетевую организацию, центры питания которой по отношению к такой точке присоединения имеют более высокий класс напряжения, а при равенстве классов напряжения центров питания - на сетевую организацию, чей объект электросетевого хозяйства, в котором имеется техническая возможность установки прибора учета, находится ближе к точке присоединения.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Гарантирующие поставщики обеспечивают коммерческий учет электрической энергии (мощности) на розничных рынках в отношении расположенных в их зоне деятельности многоквартирных домов (за исключением помещений многоквартирных домов, электроснабжение которых осуществляется без использования общего имущества), включая установку коллективных (общедомовых) приборов учета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Под эксплуатацией прибора учета для целей настоящего документа понимается выполнение действий, обеспечивающих функционирование прибора учета и (или) иного оборудования, используемых для обеспечения коммерческого учета электрической энергии (мощности), в соответствии с его назначением на всех стадиях его жизненного цикла со дня допуска в эксплуатацию и до выхода из строя, включающих в том числе осмотры прибора учета и (или) иного оборудования, используемых для обеспечения коммерческого учета электрической энергии (мощности), а также техническое обслуживание прибора учета и (или) иного оборудования (при необходимости) и проведение своевременной поверки.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Под допуском прибора учета в эксплуатацию в целях применения настоящего документа понимается процедура, в ходе которой проверяется и определяется готовность прибора учета к его использованию при осуществлении расчетов за электрическую энергию (мощность) и которая завершается документальным оформлением результатов допуска.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Под установкой прибора учета для целей настоящего документа понимаются работы по монтажу такого прибора учета и (или) иного оборудования, которые необходимы для обеспечения коммерческого учета электрической энергии (мощности) в точке поставки.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Под заменой прибора учета для целей настоящего документа понимаются работы по демонтажу ранее установленного прибора учета и (или) иного оборудования, которые используются для обеспечения коммерческого учета электрической энергии (мощности) и работы по установке прибора учета.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Под утратой прибора учета для целей настоящего постановления понимается отсутствие результатов измерений и информации о состоянии такого прибора учета по истечении 180 дней с даты последнего снятия показаний с прибора учета, в том числе вследствие двукратного недопуска сетевой организации (гарантирующего поставщика - в отношении коллективного (общедомового) прибора учета) к месту установки прибора учета в целях исполнения возложенных на соответствующего субъекта обязанностей.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Расходы гарантирующих поставщиков и сетевых организаций, понесенные ими для исполнения обязанностей, указанных в настоящем разделе, учитываются в составе сбытовых надбавок гарантирующих поставщиков, тарифов на услуги по передаче электрической энергии и плате за технологическое присоединение в соответствии с Основами ценообразования в области регулируемых цен (тарифов) в электроэнергетике. Не допускается взимание отдельной (дополнительной) платы с субъектов розничных рынков в связи с выполнением соответствующих обязанностей.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Сетевые организации (гарантирующие поставщики) вправе за отдельную плату осуществлять установку, замену приборов учета до истечения их срока поверки или эксплуатации в случаях, не связанных с утратой, выходом из строя или неисправностью прибора учета, при обращении потребителя, производителя электрической энергии (мощности) на розничном рынке, а также предоставлять услуги, не включенные в минимальный набор функций интеллектуальных систем учета электрической энергии (мощности), с использованием приборов учета и результатов измерений таких приборов учета.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137. В состав иного оборудования, которое используется для коммерческого учета электрической энергии (мощности), входят: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измерительные трансформаторы;</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коммутационное оборудование и оборудование защиты прибора учета от токов короткого замыкания;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материалы и оборудование для монтажа прибора учета (измерительного комплекса) в месте его установки;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материалы и оборудование для организации вторичных цепей измерительного комплекса;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устройства, предназначенные для удаленного сбора, обработки, передачи показаний приборов учета электрической энергии, обеспечивающие информационный обмен, хранение показаний приборов учета электрической энергии, удаленное управление ее компонентами, устройствами и приборами учета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состав иного оборудования, которое используется для коммерческого учета электрической энергии (мощности), приобретение, установку и замену которого осуществляют гарантирующие поставщики и сетевые организации, не входят измерительные трансформаторы, используемые для обеспечения коммерческого учета электрической энергии в отношении объектов по производству электрической энергии (мощности) на розничных рынках, а также в составе измерительных комплексов на подстанциях с уровнем высшего напряжения выше 20 кВ.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Приобретение, установка, замена, эксплуатация и поверка измерительных трансформаторов, используемых для обеспечения коммерческого учета электрической энергии в составе измерительных комплексов, установленных или устанавливаемых на подстанциях с уровнем высшего напряжения 20 кВ и выше, а также в отношении объектов по производству электрической энергии (мощности) на розничных рынках, осуществляются собственником (владельцем) соответствующих подстанций, объектов по производству электрической энергии (мощности) на розничных рынках.</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Замена измерительных трансформаторов, входящих в состав иного оборудования, которое используется для коммерческого учета электрической энергии (мощности), приобретение, установку и замену которого осуществляют гарантирующие поставщики и сетевые организации, при истечении интервала между их поверками осуществляется сетевыми организациями и гарантирующими поставщиками, в случае если в результате их поверки в порядке, установленном законодательством Российской Федерации об обеспечении единства измерений, не подтверждено их соответствие метрологическим требованиям. Обязанности по организации проведения такой поверки и сопутствующие расходы несут гарантирующие поставщики и сетевые организации.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138. В случаях, не относящихся к предоставлению коммунальных услуг, коммерческий учет электрической энергии, используемой гражданами, осуществляется в соответствии с настоящим документом.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случаях, относящихся к предоставлению коммунальных услуг, коммерческий учет электрической энергии, используемой гражданами, осуществляется в соответствии с </w:t>
      </w:r>
      <w:hyperlink r:id="rId524" w:history="1">
        <w:r>
          <w:rPr>
            <w:rFonts w:ascii="Arial" w:hAnsi="Arial" w:cs="Arial"/>
            <w:color w:val="0000FF"/>
            <w:sz w:val="20"/>
            <w:szCs w:val="20"/>
          </w:rPr>
          <w:t>Правилами</w:t>
        </w:r>
      </w:hyperlink>
      <w:r>
        <w:rPr>
          <w:rFonts w:ascii="Arial" w:hAnsi="Arial" w:cs="Arial"/>
          <w:sz w:val="20"/>
          <w:szCs w:val="20"/>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за исключением установленного настоящим документом порядка определения мест установки приборов учета, установки и ввода в эксплуатацию, проведения контрольного снятия показаний и проверок приборов учета, установленных в отношении жилых домов, установки и ввода в эксплуатацию и проведения проверок коллективных (общедомовых) приборов учета.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Определение объемов электрической энергии, поставленной гарантирующим поставщиком в многоквартирный жилой дом, осуществляется в соответствии с </w:t>
      </w:r>
      <w:hyperlink r:id="rId525" w:history="1">
        <w:r>
          <w:rPr>
            <w:rFonts w:ascii="Arial" w:hAnsi="Arial" w:cs="Arial"/>
            <w:color w:val="0000FF"/>
            <w:sz w:val="20"/>
            <w:szCs w:val="20"/>
          </w:rPr>
          <w:t>Правилами</w:t>
        </w:r>
      </w:hyperlink>
      <w:r>
        <w:rPr>
          <w:rFonts w:ascii="Arial" w:hAnsi="Arial" w:cs="Arial"/>
          <w:sz w:val="20"/>
          <w:szCs w:val="20"/>
        </w:rP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139. Субъекты электроэнергетики, потребители электрической энергии (мощности) и иные владельцы приборов учета электрической энергии обязаны осуществлять информационный обмен данными, получаемыми в ходе обеспечения коммерческого учета электрической энергии (мощности) на розничных рынках, необходимыми для взаиморасчетов за поставки электрической энергии и мощности, а также за связанные с указанными поставками услуги, на безвозмездной основе.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Собственники приборов учета и (или) иного оборудования, используемых для обеспечения коммерческого учета электрической энергии (мощности) на розничных рынках, а также собственники (владельцы) и (или) пользователи объектов, на которых установлены такие приборы учета и (или) иное оборудование, не вправе по своему усмотрению демонтировать приборы учета и (или) иное оборудование, ограничивать к ним доступ, вмешиваться в процесс удаленного сбора, обработки и передачи показаний приборов учета (измерительных трансформаторов), в любой иной форме препятствовать их использованию для обеспечения и осуществления контроля коммерческого учета электрической энергии (мощности), в том числе препятствовать проведению проверок целостности и корректности их работы, использованию для этих целей данных, получаемых с принадлежащих им приборов учета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Лицо, владеющее на праве собственности или ином законном основании (далее - собственник (владелец) энергопринимающими устройствами (объектами по производству электрической энергии (мощности), объектами электросетевого хозяйства), в границах балансовой принадлежности (в отношении граждан-потребителей - в границах земельного участка) которых установлен прибор учета, принадлежащий другому лицу, обязано обеспечить допуск для проведения работ по замене прибора учета и (или) иного оборудования, которые используются для коммерческого учета электрической энергии (мощности), а также для проведения работ, связанных с эксплуатацией прибора учета и (или) иного оборудования, которые используются для коммерческого учета электрической энергии (мощности), представителей сетевой организации (гарантирующего поставщика - в отношении коллективного (общедомового) прибора учета) и иных собственников соответствующих приборов учета.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Обязанность по обеспечению сохранности и целостности прибора учета и (или) иного оборудования, используемых для обеспечения коммерческого учета электрической энергии (мощности), а также пломб и (или) знаков визуального контроля в случае, если такая обязанность предусмотрена договором, возлагается на собственника (владельца) энергопринимающих устройств, объектов по производству электрической энергии (мощности), объектов электросетевого хозяйства (в отношении граждан - потребителей электрической энергии - собственника (владельца) земельного участка), в границах балансовой принадлежности которых (в отношении граждан - потребителей электрической энергии - в границах земельного участка) установлены приборы учета и (или) иное оборудование, которое используется для обеспечения коммерческого учета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Указанные лица в соответствии с законодательством Российской Федерации обязаны возместить сетевой организации (гарантирующему поставщику) убытки, причиненные неисполнением или ненадлежащим исполнением обязанностей по обеспечению сохранности и целостности установленных сетевой организацией (гарантирующим поставщиком) приборов учета и (или) иного оборудования, которые используются для обеспечения коммерческого учета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140. Определение объема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осуществляется на основании: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показаний приборов учета, в том числе включенных в состав измерительных комплексов, систем учета и приборов учета электрической энергии, присоединенных к интеллектуальным системам учета электрической энергии (мощности), и интеллектуальных систем учета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отсутствия актуальных показаний или непригодности к расчетам приборов учета, измерительных комплексов - на основании расчетных способов, которые определяются замещающей информацией или иными расчетными способами, предусмотренных настоящим документом и </w:t>
      </w:r>
      <w:hyperlink w:anchor="Par3581" w:history="1">
        <w:r>
          <w:rPr>
            <w:rFonts w:ascii="Arial" w:hAnsi="Arial" w:cs="Arial"/>
            <w:color w:val="0000FF"/>
            <w:sz w:val="20"/>
            <w:szCs w:val="20"/>
          </w:rPr>
          <w:t>приложением N 3</w:t>
        </w:r>
      </w:hyperlink>
      <w:r>
        <w:rPr>
          <w:rFonts w:ascii="Arial" w:hAnsi="Arial" w:cs="Arial"/>
          <w:sz w:val="20"/>
          <w:szCs w:val="20"/>
        </w:rPr>
        <w:t>. Замещающей информацией являются показания расчетного прибора учета за аналогичный расчетный период предыдущего года, а при отсутствии данных за аналогичный расчетный период предыдущего года - показания расчетного прибора учета за ближайший расчетный период, когда такие показания имелись.</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Под измерительным комплексом для целей настоящего документа понимается совокупность приборов учета и измерительных трансформаторов, предназначенных для измерения объемов электрической энергии (мощности) в одной точке поставки. Положения настоящего документа, </w:t>
      </w:r>
      <w:r>
        <w:rPr>
          <w:rFonts w:ascii="Arial" w:hAnsi="Arial" w:cs="Arial"/>
          <w:sz w:val="20"/>
          <w:szCs w:val="20"/>
        </w:rPr>
        <w:lastRenderedPageBreak/>
        <w:t>применяемые к приборам учета, применяются к измерительным комплексам, если иное прямо не установлено настоящим документом.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Под системой учета для целей настоящего документа понимается совокупность приборов учета, измерительных комплексов, связующих и вычислительных компонентов, устройств сбора и передачи данных, программных средств, предназначенная для измерения, хранения, удаленного сбора и передачи показаний приборов учета по одной или нескольким точкам поставки.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Под интегральным прибором учета для целей настоящего документа понимается прибор учета, обеспечивающий учет электрической энергии суммарно по состоянию на определенный момент времени.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Под прибором учета, присоединенным к интеллектуальной системе учета электрической энергии (мощности), для целей настоящего документа понимается прибор учета электрической энергии, допущенный в эксплуатацию для целей коммерческого учета электрической энергии на розничных рынках и (или) предоставления коммунальных услуг и присоединенный к интеллектуальной системе учета в соответствии с </w:t>
      </w:r>
      <w:hyperlink r:id="rId526" w:history="1">
        <w:r>
          <w:rPr>
            <w:rFonts w:ascii="Arial" w:hAnsi="Arial" w:cs="Arial"/>
            <w:color w:val="0000FF"/>
            <w:sz w:val="20"/>
            <w:szCs w:val="20"/>
          </w:rPr>
          <w:t>правилами</w:t>
        </w:r>
      </w:hyperlink>
      <w:r>
        <w:rPr>
          <w:rFonts w:ascii="Arial" w:hAnsi="Arial" w:cs="Arial"/>
          <w:sz w:val="20"/>
          <w:szCs w:val="20"/>
        </w:rPr>
        <w:t xml:space="preserve"> предоставления доступа к минимальному набору функций интеллектуальных систем учета электрической энергии (мощности), предусмотренными </w:t>
      </w:r>
      <w:hyperlink r:id="rId527" w:history="1">
        <w:r>
          <w:rPr>
            <w:rFonts w:ascii="Arial" w:hAnsi="Arial" w:cs="Arial"/>
            <w:color w:val="0000FF"/>
            <w:sz w:val="20"/>
            <w:szCs w:val="20"/>
          </w:rPr>
          <w:t>пунктом 1 статьи 21</w:t>
        </w:r>
      </w:hyperlink>
      <w:r>
        <w:rPr>
          <w:rFonts w:ascii="Arial" w:hAnsi="Arial" w:cs="Arial"/>
          <w:sz w:val="20"/>
          <w:szCs w:val="20"/>
        </w:rPr>
        <w:t xml:space="preserve"> Федерального закона "Об электроэнергетике" (далее - правила предоставления доступа к минимальному набору функций интеллектуальных систем учета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Под показаниями прибора учета для целей настоящего документа понимаются все показания и результаты измерений прибора учета электрической энергии, которые используются в соответствии с настоящим документом для целей взаиморасчетов за поставленные электрическую энергию и мощность, а также за связанные с указанными поставками услуги.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141. Для целей определения объемов потребления (производства) электрической энергии (мощности) на розничных рынках, оказанных услуг по передаче электрической энергии, фактических потерь электрической энергии в объектах электросетевого хозяйства используются показания приборов учета, соответствующих требованиям законодательства Российской Федерации об обеспечении единства измерений, требованиям, предусмотренным настоящим разделом, в том числе к месту установки и классу точности, имеющих неповрежденные контрольные пломбы и (или) знаки визуального контроля, допущенных в эксплуатацию в порядке, предусмотренном законодательством Российской Федерации об электроэнергетике на дату допуска (далее - расчетные приборы учета).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 1 января 2022 г. для учета электрической энергии (мощности) подлежат установке приборы учета, соответствующие требованиям к приборам учета электрической энергии, которые могут быть присоединены к интеллектуальной системе учета электрической энергии (мощности), в соответствии с </w:t>
      </w:r>
      <w:hyperlink r:id="rId528" w:history="1">
        <w:r>
          <w:rPr>
            <w:rFonts w:ascii="Arial" w:hAnsi="Arial" w:cs="Arial"/>
            <w:color w:val="0000FF"/>
            <w:sz w:val="20"/>
            <w:szCs w:val="20"/>
          </w:rPr>
          <w:t>правилами</w:t>
        </w:r>
      </w:hyperlink>
      <w:r>
        <w:rPr>
          <w:rFonts w:ascii="Arial" w:hAnsi="Arial" w:cs="Arial"/>
          <w:sz w:val="20"/>
          <w:szCs w:val="20"/>
        </w:rPr>
        <w:t xml:space="preserve"> предоставления доступа к минимальному набору функций интеллектуальных систем учета электрической энергии (мощности). До 1 января 2022 г. сетевые организации (гарантирующие поставщики) вправе осуществлять установку приборов учета, соответствующих требованиям, предусмотренным указанными правилами.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ходе обеспечения коммерческого учета электрической энергии (мощности) на розничных рынках сетевые организации и гарантирующие поставщики в отношении приборов учета обязаны осуществлять контроль соблюдения указанных в настоящем пункте требований, а также извещать заинтересованных субъектов электроэнергетики, потребителей электрической энергии (мощности) и иных владельцев приборов учета электрической энергии об их нарушении.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Субъекты электроэнергетики и потребители электрической энергии вправе проводить проверки соблюдения сетевой организацией или гарантирующим поставщиком указанных в настоящем пункте требований, в том числе с привлечением аккредитованных в установленном порядке в области обеспечения единства измерений юридических лиц (индивидуальных предпринимателей).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Для учета потребляемой (производимой) электрической энергии подлежат использованию приборы учета класса точности, соответствующего требованиям </w:t>
      </w:r>
      <w:hyperlink r:id="rId529" w:history="1">
        <w:r>
          <w:rPr>
            <w:rFonts w:ascii="Arial" w:hAnsi="Arial" w:cs="Arial"/>
            <w:color w:val="0000FF"/>
            <w:sz w:val="20"/>
            <w:szCs w:val="20"/>
          </w:rPr>
          <w:t>правил</w:t>
        </w:r>
      </w:hyperlink>
      <w:r>
        <w:rPr>
          <w:rFonts w:ascii="Arial" w:hAnsi="Arial" w:cs="Arial"/>
          <w:sz w:val="20"/>
          <w:szCs w:val="20"/>
        </w:rPr>
        <w:t xml:space="preserve"> предоставления доступа к минимальному набору функций интеллектуальных систем учета электрической энергии (мощности), а для потребителей - с максимальной мощностью не менее 670 кВт, в том числе приборы учета, обеспечивающие хранение данных о почасовых объемах потребления электрической энергии за последние 90 дней и более.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Класс точности измерительных трансформаторов, используемых в измерительных комплексах для установки (подключения) приборов учета, должен быть не ниже 0,5.</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142. Если приборы учета, соответствующие требованиям настоящего документа, расположены по обе стороны границы балансовой принадлежности смежных субъектов розничного рынка - потребителей, производителей электрической энергии (мощности) на розничных рынках, сетевых организаций, то выбор расчетного прибора учета осуществляется исходя из одного из следующих критериев (в порядке убывания приоритета):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40" w:name="Par1269"/>
      <w:bookmarkEnd w:id="140"/>
      <w:r>
        <w:rPr>
          <w:rFonts w:ascii="Arial" w:hAnsi="Arial" w:cs="Arial"/>
          <w:sz w:val="20"/>
          <w:szCs w:val="20"/>
        </w:rPr>
        <w:t xml:space="preserve">в качестве расчетного прибора учета принимается прибор учета, установленный и допущенный в эксплуатацию сетевой организацией (гарантирующим поставщиком) в рамках исполнения обязанностей, указанных в </w:t>
      </w:r>
      <w:hyperlink w:anchor="Par1224" w:history="1">
        <w:r>
          <w:rPr>
            <w:rFonts w:ascii="Arial" w:hAnsi="Arial" w:cs="Arial"/>
            <w:color w:val="0000FF"/>
            <w:sz w:val="20"/>
            <w:szCs w:val="20"/>
          </w:rPr>
          <w:t>пункте 136</w:t>
        </w:r>
      </w:hyperlink>
      <w:r>
        <w:rPr>
          <w:rFonts w:ascii="Arial" w:hAnsi="Arial" w:cs="Arial"/>
          <w:sz w:val="20"/>
          <w:szCs w:val="20"/>
        </w:rPr>
        <w:t xml:space="preserve"> настоящего документа. Такой прибор учета становится расчетным прибором учета с даты допуска его в эксплуатацию;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41" w:name="Par1270"/>
      <w:bookmarkEnd w:id="141"/>
      <w:r>
        <w:rPr>
          <w:rFonts w:ascii="Arial" w:hAnsi="Arial" w:cs="Arial"/>
          <w:sz w:val="20"/>
          <w:szCs w:val="20"/>
        </w:rPr>
        <w:t>в качестве расчетного прибора учета принимается прибор учета, обеспечивающий проведение измерений с минимальной величиной потерь электрической энергии от места его установки до точки поставки (при номинальных токах и напряжениях). Расчет величины потерь электрической энергии осуществляется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42" w:name="Par1271"/>
      <w:bookmarkEnd w:id="142"/>
      <w:r>
        <w:rPr>
          <w:rFonts w:ascii="Arial" w:hAnsi="Arial" w:cs="Arial"/>
          <w:sz w:val="20"/>
          <w:szCs w:val="20"/>
        </w:rPr>
        <w:t>при равных величинах потерь электрической энергии от места установки такого прибора учета до точки поставки в качестве расчетного прибора учета принимается прибор учета, обеспечивающий минимальную величину погрешности измерительного канала. Погрешность измерительного канала определяется в соответствии с нормативным правовым актом уполномоченного федерального органа, регламентирующим расчет нормативов технологических потерь электрической энергии при ее передаче;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равенстве условий, указанных в </w:t>
      </w:r>
      <w:hyperlink w:anchor="Par1269" w:history="1">
        <w:r>
          <w:rPr>
            <w:rFonts w:ascii="Arial" w:hAnsi="Arial" w:cs="Arial"/>
            <w:color w:val="0000FF"/>
            <w:sz w:val="20"/>
            <w:szCs w:val="20"/>
          </w:rPr>
          <w:t>абзацах втором</w:t>
        </w:r>
      </w:hyperlink>
      <w:r>
        <w:rPr>
          <w:rFonts w:ascii="Arial" w:hAnsi="Arial" w:cs="Arial"/>
          <w:sz w:val="20"/>
          <w:szCs w:val="20"/>
        </w:rPr>
        <w:t xml:space="preserve"> и </w:t>
      </w:r>
      <w:hyperlink w:anchor="Par1270" w:history="1">
        <w:r>
          <w:rPr>
            <w:rFonts w:ascii="Arial" w:hAnsi="Arial" w:cs="Arial"/>
            <w:color w:val="0000FF"/>
            <w:sz w:val="20"/>
            <w:szCs w:val="20"/>
          </w:rPr>
          <w:t>третьем</w:t>
        </w:r>
      </w:hyperlink>
      <w:r>
        <w:rPr>
          <w:rFonts w:ascii="Arial" w:hAnsi="Arial" w:cs="Arial"/>
          <w:sz w:val="20"/>
          <w:szCs w:val="20"/>
        </w:rPr>
        <w:t xml:space="preserve"> настоящего пункта, в качестве расчетного прибора учета принимается прибор учета, позволяющий измерять почасовые объемы потребления (производства) электрической энергии, в том числе входящий в измерительный комплекс;</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равенстве условий, указанных в </w:t>
      </w:r>
      <w:hyperlink w:anchor="Par1269" w:history="1">
        <w:r>
          <w:rPr>
            <w:rFonts w:ascii="Arial" w:hAnsi="Arial" w:cs="Arial"/>
            <w:color w:val="0000FF"/>
            <w:sz w:val="20"/>
            <w:szCs w:val="20"/>
          </w:rPr>
          <w:t>абзацах втором</w:t>
        </w:r>
      </w:hyperlink>
      <w:r>
        <w:rPr>
          <w:rFonts w:ascii="Arial" w:hAnsi="Arial" w:cs="Arial"/>
          <w:sz w:val="20"/>
          <w:szCs w:val="20"/>
        </w:rPr>
        <w:t xml:space="preserve"> - </w:t>
      </w:r>
      <w:hyperlink w:anchor="Par1271" w:history="1">
        <w:r>
          <w:rPr>
            <w:rFonts w:ascii="Arial" w:hAnsi="Arial" w:cs="Arial"/>
            <w:color w:val="0000FF"/>
            <w:sz w:val="20"/>
            <w:szCs w:val="20"/>
          </w:rPr>
          <w:t>четвертом</w:t>
        </w:r>
      </w:hyperlink>
      <w:r>
        <w:rPr>
          <w:rFonts w:ascii="Arial" w:hAnsi="Arial" w:cs="Arial"/>
          <w:sz w:val="20"/>
          <w:szCs w:val="20"/>
        </w:rPr>
        <w:t xml:space="preserve"> настоящего пункта, в качестве расчетного прибора учета принимается прибор учета, входящий в состав автоматизированной информационно-измерительной системы учета.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этом приборы учета, расположенные по иную сторону границы балансовой принадлежности от расчетных приборов учета по соглашению сторон договора энергоснабжения (купли-продажи (поставки) электрической энергии (мощности), договора оказания услуг по передаче электрической энергии (мощности), могут быть определены как контрольные приборы учета и в указанных в настоящем разделе случаях использоваться для определения объемов потребления (производства) электрической энергии (мощности), оказанных услуг по передаче электрической энергии, фактических потерь электрической энергии в объектах электросетевого хозяйства, за которые осуществляются расчеты на розничном рынке.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Расчетные и контрольные приборы учета указываются в договоре энергоснабжения (купли-продажи (поставки) электрической энергии (мощности), оказания услуг по передаче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143. Если определение объемов потребления (производства) электрической энергии (мощности), в том числе почасовых объемов, оказанных услуг по передаче электрической энергии в соответствии с договором энергоснабжения (купли-продажи (поставки) электрической энергии (мощности), оказания услуг по передаче электрической энергии) осуществляется по совокупности точек поставки в границах балансовой принадлежности, то совокупный объем потребления (производства) электрической энергии на розничном рынке, в том числе почасовой объем, объем оказанных услуг по передаче электрической энергии в отношении соответствующей совокупности точек поставки определяются путем суммирования (вычитания) объемов потребления (производства) электрической энергии, определенных в порядке, предусмотренном настоящим документом, исходя из направлений перетоков электрической энергии по каждой точке поставки в границах балансовой принадлежности энергопринимающих устройств потребителя (объектов по производству электрической энергии (мощности) производителя электрической энергии (мощности) и мест расположения приборов учета по отношению к соответствующим точкам поставки.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144. Энергопринимающие устройства потребителя, объекты по производству электрической энергии (мощности) производителя электрической энергии (мощности) на розничном рынке считаются оборудованными приборами учета, позволяющими измерять почасовые объемы потребления (производства) электрической энергии, в случае если такими приборами учета оборудованы все точки поставки в границах балансовой принадлежности потребителя, производителя электрической энергии </w:t>
      </w:r>
      <w:r>
        <w:rPr>
          <w:rFonts w:ascii="Arial" w:hAnsi="Arial" w:cs="Arial"/>
          <w:sz w:val="20"/>
          <w:szCs w:val="20"/>
        </w:rPr>
        <w:lastRenderedPageBreak/>
        <w:t>(мощности) на розничном рынке, кроме тех точек поставки, по которым в соответствии с настоящим пунктом допускается использование интегральных приборов учета.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Использование интегральных приборов учета допускается по точкам поставки на объектах электросетевого хозяйства напряжением 10 кВ и ниже при условии, что суммарная максимальная мощность по этим точкам поставки не превышает 2,5 процента максимальной мощности всех точек поставки в границах балансовой принадлежности потребителя. В этом случае при формировании почасовых объемов потребления электрической энергии учет объемов потребления электрической энергии по точкам поставки, оборудованным интегральными приборами учета, производится следующим образом. Суммарный объем потребления электрической энергии за расчетный период по точкам поставки, оборудованным интегральными приборами учета, распределяется по часам расчетного периода пропорционально доле объема потребления электрической энергии за каждый час расчетного периода, определенного суммарно по всем точкам поставки, оборудованным приборами учета, позволяющими измерять почасовые объемы потребления электрической энергии, в суммарном объеме потребления электрической энергии за расчетный период по всем точкам поставки, оборудованным приборами учета, позволяющими измерять почасовые объемы потребления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если в отношении потребителя, при осуществлении расчетов за электрическую энергию с которым используется ставка за мощность, не выполнено требование об использовании приборов учета, позволяющих измерять почасовые объемы потребления электрической энергии, то вплоть до выполнения указанного требования во всех точках поставки в границах балансовой принадлежности энергопринимающих устройств такого потребителя, которые оборудованы интегральными приборами учета, почасовые объемы потребления электрической энергии в установленные системным оператором плановые часы пиковой нагрузки в рабочие дни расчетного периода полагаются равными минимальному значению объема потребления электрической энергии, определенного на основании показаний интегрального прибора учета за расчетный период, распределенного равномерно по указанным часам, и объема электрической энергии, соответствующего величине максимальной мощности энергопринимающих устройств этого потребителя в соответствующей точке поставки, а почасовые объемы потребления электрической энергии в остальные часы расчетного периода определяются исходя из равномерного распределения по этим часам объема электрической энергии, не распределенного на плановые часы пиковой нагрузки.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этом в случае если к энергопринимающим устройствам указанного потребителя технологически присоединены энергопринимающие устройства смежных субъектов электроэнергетики, а также в случае если объем потребления электрической энергии (мощности) энергопринимающими устройствами такого потребителя в соответствии с договорами энергоснабжения (купли-продажи (поставки) электрической энергии (мощности), оказания услуг по передаче электрической энергии) определяется за вычетом объема электрической энергии (мощности), отпущенной в энергопринимающие устройства смежных субъектов электроэнергетики, то объем потребления электрической энергии энергопринимающими устройствами такого потребителя, подлежащий распределению по часам суток в порядке, установленном настоящим пунктом, определяется как разность объема электрической энергии, определенного на основании показаний прибора учета потребителя за расчетный период, и объема электрической энергии, отпущенной в энергопринимающие устройства смежных субъектов электроэнергетики за соответствующий расчетный период.</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отсутствия показаний расчетного прибора учета для определения объема электрической энергии (мощности), отпущенной в энергопринимающие устройства смежных субъектов за соответствующий расчетный период, такой объем для целей определения объема потребления электрической энергии энергопринимающими устройствами такого потребителя (покупателя в отношении такого потребителя) определяется исходя из показаний контрольного прибора учета, а в случае его отсутствия объем электрической энергии (мощности), отпущенной в энергопринимающие устройства смежных субъектов за соответствующий расчетный период, для целей определения объема потребления электрической энергии энергопринимающими устройствами такого потребителя (покупателя в отношении такого потребителя), подлежащий распределению по часам суток, принимается равным нулю.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этом указанный порядок определения почасовых объемов потребления электрической энергии применяется в отношении потребителей с максимальной мощностью не менее 670 кВт.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43" w:name="Par1283"/>
      <w:bookmarkEnd w:id="143"/>
      <w:r>
        <w:rPr>
          <w:rFonts w:ascii="Arial" w:hAnsi="Arial" w:cs="Arial"/>
          <w:sz w:val="20"/>
          <w:szCs w:val="20"/>
        </w:rPr>
        <w:t xml:space="preserve">145. Для учета электрической энергии (мощности) в отношении точек поставки розничных рынков электрической энергии, совпадающих с точками поставки, входящими в состав групп точек поставки на </w:t>
      </w:r>
      <w:r>
        <w:rPr>
          <w:rFonts w:ascii="Arial" w:hAnsi="Arial" w:cs="Arial"/>
          <w:sz w:val="20"/>
          <w:szCs w:val="20"/>
        </w:rPr>
        <w:lastRenderedPageBreak/>
        <w:t xml:space="preserve">оптовом рынке, подлежат установке приборы учета, соответствующие требованиям </w:t>
      </w:r>
      <w:hyperlink r:id="rId530" w:history="1">
        <w:r>
          <w:rPr>
            <w:rFonts w:ascii="Arial" w:hAnsi="Arial" w:cs="Arial"/>
            <w:color w:val="0000FF"/>
            <w:sz w:val="20"/>
            <w:szCs w:val="20"/>
          </w:rPr>
          <w:t>Правил</w:t>
        </w:r>
      </w:hyperlink>
      <w:r>
        <w:rPr>
          <w:rFonts w:ascii="Arial" w:hAnsi="Arial" w:cs="Arial"/>
          <w:sz w:val="20"/>
          <w:szCs w:val="20"/>
        </w:rPr>
        <w:t xml:space="preserve"> оптового рынка для субъектов оптового рынка.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Собственник (владелец) энергопринимающего оборудования (объекта по производству электрической энергии (мощности) и (или) энергосбытовая (энергоснабжающая) организация, осуществляющие в отношении точек поставки розничного рынка, совпадающих с точками поставки, входящими в состав групп точек поставки на оптовом рынке и не входящими в группу точек поставки гарантирующего поставщика, куплю-продажи электрической энергии (мощности) на оптовом рынке в отношении соответствующего энергопринимающего оборудования (объекта по производству электрической энергии (мощности), вправе обеспечить установку (замену) приборов учета в таких точках самостоятельно. В таком случае указанные лица самостоятельно организовывают их допуск в эксплуатацию, а также осуществляют их дальнейшую эксплуатацию.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Реализация обязанностей сетевой организации, предусмотренных </w:t>
      </w:r>
      <w:hyperlink w:anchor="Par1224" w:history="1">
        <w:r>
          <w:rPr>
            <w:rFonts w:ascii="Arial" w:hAnsi="Arial" w:cs="Arial"/>
            <w:color w:val="0000FF"/>
            <w:sz w:val="20"/>
            <w:szCs w:val="20"/>
          </w:rPr>
          <w:t>пунктом 136</w:t>
        </w:r>
      </w:hyperlink>
      <w:r>
        <w:rPr>
          <w:rFonts w:ascii="Arial" w:hAnsi="Arial" w:cs="Arial"/>
          <w:sz w:val="20"/>
          <w:szCs w:val="20"/>
        </w:rPr>
        <w:t xml:space="preserve"> настоящего документа, в отношении точек поставки, входящих в состав групп точек поставки на оптовом рынке, осуществляется не ранее получения уведомления от собственника (владельца) энергопринимающего оборудования (объекта по производству электрической энергии (мощности) и (или) энергосбытовой (энергоснабжающей) организации, осуществляющих куплю-продажу электрической энергии (мощности) по соответствующей точке поставки на розничном рынке электрической энергии, об отказе в дальнейшем осуществлять приобретение, установку и замену приборов учета электрической энергии и (или) иного оборудования, которые необходимы для обеспечения коммерческого учета электрической энергии (мощности). Указанное уведомление должно быть направлено в адрес сетевой организации не позднее 6 месяцев до истечения срока межповерочного интервала прибора учета или срока его эксплуатации и не позднее 5 рабочих дней с даты возникновения иных оснований для установки (замены) прибора учета, предусмотренных настоящим разделом.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146. Если иное не установлено в настоящем пункте, сетевая организация, в границах балансовой принадлежности которой расположены точки (группы точек) поставки, с использованием которых на оптовом рынке приобретает электрическую энергию гарантирующий поставщик, обслуживающий потребителей, энергопринимающие устройства которых присоединены к объектам электросетевого хозяйства такой сетевой организации, обязана обеспечить оснащение таких точек (групп точек) поставки приборами учета и измерительными трансформаторами, а также компонентами, связанными со сбором, обработкой и передачей показаний приборов учета в адрес гарантирующего поставщика, в соответствии с требованиями, установленными </w:t>
      </w:r>
      <w:hyperlink r:id="rId531" w:history="1">
        <w:r>
          <w:rPr>
            <w:rFonts w:ascii="Arial" w:hAnsi="Arial" w:cs="Arial"/>
            <w:color w:val="0000FF"/>
            <w:sz w:val="20"/>
            <w:szCs w:val="20"/>
          </w:rPr>
          <w:t>Правилами</w:t>
        </w:r>
      </w:hyperlink>
      <w:r>
        <w:rPr>
          <w:rFonts w:ascii="Arial" w:hAnsi="Arial" w:cs="Arial"/>
          <w:sz w:val="20"/>
          <w:szCs w:val="20"/>
        </w:rPr>
        <w:t xml:space="preserve"> оптового рынка для субъектов оптового рынка и касающимися организации коммерческого учета электрической энергии в указанных точках (группах точек) поставки. Гарантирующий поставщик обязан обеспечить разработку документов, предусмотренных договором о присоединении к торговой системе оптового рынка, необходимых для установления соответствия автоматизированных информационно-измерительных систем коммерческого учета техническим требованиям, предъявляемым к субъектам оптового рынка. Порядок выполнения сетевой организацией и гарантирующим поставщиком указанных обязанностей подлежит определению в договоре оказания услуг по передаче электрической энергии, заключенном между сетевой организацией и гарантирующим поставщиком, а в случае отсутствия договора оказания услуг по передаче электрической энергии подлежит определению в соглашении, заключенном между сетевой организацией и гарантирующим поставщиком.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Такая сетевая организация несет перед гарантирующим поставщиком ответственность за невыполнение указанной обязанности и должна возместить гарантирующему поставщику расходы, понесенные им на оптовом рынке в связи с невыполнением ею указанной обязанности. Расходы гарантирующего поставщика на оптовом рынке, возникшие вследствие невыполнения гарантирующим поставщиком обязательств по разработке документов, предусмотренных договором о присоединении к оптовому рынку, необходимых для установления соответствия автоматизированных информационно-измерительных систем коммерческого учета техническим требованиям, предъявляемым к субъектам оптового рынка, несет сам гарантирующий поставщик.</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Соглашением между сетевой организацией и гарантирующим поставщиком может быть предусмотрено, что обязанность по оснащению точек (групп точек) поставки, с использованием которых гарантирующий поставщик приобретает электрическую энергию на оптовом рынке, приборами учета и измерительными трансформаторами, а также компонентами, связанными со сбором, обработкой и передачей показаний приборов учета, в соответствии с требованиями, установленными </w:t>
      </w:r>
      <w:hyperlink r:id="rId532" w:history="1">
        <w:r>
          <w:rPr>
            <w:rFonts w:ascii="Arial" w:hAnsi="Arial" w:cs="Arial"/>
            <w:color w:val="0000FF"/>
            <w:sz w:val="20"/>
            <w:szCs w:val="20"/>
          </w:rPr>
          <w:t>Правилами</w:t>
        </w:r>
      </w:hyperlink>
      <w:r>
        <w:rPr>
          <w:rFonts w:ascii="Arial" w:hAnsi="Arial" w:cs="Arial"/>
          <w:sz w:val="20"/>
          <w:szCs w:val="20"/>
        </w:rPr>
        <w:t xml:space="preserve"> оптового рынка для субъектов оптового рынка и касающимися организации коммерческого учета электрической энергии в указанных точках (группах точек) поставки, принимает на себя гарантирующий поставщик. В этом случае приборы учета и измерительные трансформаторы, компоненты, связанные со </w:t>
      </w:r>
      <w:r>
        <w:rPr>
          <w:rFonts w:ascii="Arial" w:hAnsi="Arial" w:cs="Arial"/>
          <w:sz w:val="20"/>
          <w:szCs w:val="20"/>
        </w:rPr>
        <w:lastRenderedPageBreak/>
        <w:t>сбором, обработкой и передачей показаний приборов учета, установленные гарантирующим поставщиком, по соглашению между гарантирующим поставщиком и сетевой организацией передаются в собственность сетевой организации с возмещением гарантирующему поставщику понесенных им экономически обоснованных расходов на проектирование, приобретение и установку приборов учета и измерительных трансформаторов, а также компонентов, связанных со сбором и обработкой показаний приборов учета.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44" w:name="Par1289"/>
      <w:bookmarkEnd w:id="144"/>
      <w:r>
        <w:rPr>
          <w:rFonts w:ascii="Arial" w:hAnsi="Arial" w:cs="Arial"/>
          <w:sz w:val="20"/>
          <w:szCs w:val="20"/>
        </w:rPr>
        <w:t xml:space="preserve">147. При технологическом присоединении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прибор учета подлежит установке на границе балансовой принадлежности объектов электроэнергетики (энергопринимающих устройств) смежных субъектов. При этом прибор учета может быть установлен в границах объектов электроэнергетики (энергопринимающих устройств) смежного субъекта по соглашению сторон либо в иных случаях, предусмотренных </w:t>
      </w:r>
      <w:hyperlink r:id="rId533" w:history="1">
        <w:r>
          <w:rPr>
            <w:rFonts w:ascii="Arial" w:hAnsi="Arial" w:cs="Arial"/>
            <w:color w:val="0000FF"/>
            <w:sz w:val="20"/>
            <w:szCs w:val="20"/>
          </w:rPr>
          <w:t>Правилами</w:t>
        </w:r>
      </w:hyperlink>
      <w:r>
        <w:rPr>
          <w:rFonts w:ascii="Arial" w:hAnsi="Arial" w:cs="Arial"/>
          <w:sz w:val="20"/>
          <w:szCs w:val="20"/>
        </w:rPr>
        <w:t xml:space="preserve"> технологического присоединения.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Для учета объемов производства электрической энергии производителями электрической энергии (мощности) на розничных рынках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При этом в отношении генерирующих объектов, функционирующих на основе использования фотоэлектрического преобразования энергии солнца, и генерирующих объектов, функционирующих на основе использования энергии ветра, приборы учета устанавливаются в местах непосредственного соединения соответствующего генерирующего оборудования (группы оборудования - при условии обеспечения измерения суммарных почасовых объемов производства электрической энергии) с электрической сетью либо в местах непосредственного соединения оборудования, преобразующего частоту вырабатываемой таким генерирующим оборудованием электрической энергии, с электрической сетью.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установке приборов учета в случаях, не связанных с технологическим присоединением, приборы учета подлежат установке в местах, указанных в документах о технологическом присоединении и (или) актах допуска в эксплуатацию приборов учета электрической энергии, при этом необходимо руководствоваться документом (актом), который был оформлен и подписан позднее.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отсутствии информации о местах установки приборов учета в документах о технологическом присоединении и (или) актах допуска в эксплуатацию приборов учета электрической энергии или отсутствии технической возможности установки прибора учета в указанных местах, если иное не установлено соглашением сторон, прибор учета подлежит установке на границе балансовой принадлежности объектов электроэнергетики (энергопринимающих устройств) смежных субъектов. При этом прибор учета может быть установлен в границах объектов электроэнергетики (энергопринимающих устройств) смежного субъекта.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отсутствии технической возможности установки прибора учета на границе балансовой принадлежности, если иное не установлено соглашением сторон, прибор учета подлежит установке в месте, максимально к ней приближенном, в котором имеется техническая возможность его установки. При этом прибор учета может быть установлен в границах объектов электроэнергетики (энергопринимающих устройств) другого смежного субъекта при его согласии. В случае установки прибора учета в границах балансовой принадлежности смежного субъекта, то такой смежный субъект не вправе требовать платы за установку и последующую эксплуатацию такого прибора учета.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Местом, максимально приближенным к границе балансовой принадлежности, является место, максимально приближенное к точке поставки, в котором имеется техническая возможность установки прибора учета. При этом объем потребления (производства, передачи) электрической энергии, определенный на основании показаний такого прибора учета, в целях осуществления расчетов по договору будет подлежать корректировке только на величину потерь электрической энергии, возникающих на участке сети от границы балансовой принадлежности объектов электроэнергетики (энергопринимающих устройств) до места установки прибора учета.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Техническая возможность установки прибора учета отсутствует, если выполняется хотя бы одно из следующих условий: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установка прибора учета по проектным характеристикам мест установки невозможна без реконструкции, капитального ремонта существующих энергопринимающих устройств, объектов по производству электрической энергии (мощности) или объектов электросетевого хозяйства и (или) без создания новых объектов капитального строительства;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при установке прибора учета невозможно обеспечить соблюдение обязательных метрологических и технических требований к прибору учета, в том числе к условиям его установки и эксплуатации, предъявляемых в соответствии с законодательством Российской Федерации об обеспечении единства измерений и о техническом регулировании.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Условия отсутствия технической возможности установки прибора учета не применяются при технологическом присоединении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если в отношении ветхого и (или) аварийного объекта ранее не был допущен в эксплуатацию прибор учета, реализация обязанностей сетевой организации (гарантирующего поставщика - в отношении коллективных (общедомовых) приборов учета), предусмотренных </w:t>
      </w:r>
      <w:hyperlink w:anchor="Par1224" w:history="1">
        <w:r>
          <w:rPr>
            <w:rFonts w:ascii="Arial" w:hAnsi="Arial" w:cs="Arial"/>
            <w:color w:val="0000FF"/>
            <w:sz w:val="20"/>
            <w:szCs w:val="20"/>
          </w:rPr>
          <w:t>пунктом 136</w:t>
        </w:r>
      </w:hyperlink>
      <w:r>
        <w:rPr>
          <w:rFonts w:ascii="Arial" w:hAnsi="Arial" w:cs="Arial"/>
          <w:sz w:val="20"/>
          <w:szCs w:val="20"/>
        </w:rPr>
        <w:t xml:space="preserve"> настоящего документа, в отношении точек поставки таких объектов осуществляется не ранее проведения их собственником (управляющей организацией, товариществом собственников жилья, жилищным кооперативом или иным специализированным потребительским кооперативом (далее - лицо, осуществляющее управление многоквартирным домом), а при непосредственном управлении собственниками помещений в многоквартирном доме - лицом, привлекаемым собственниками помещений в многоквартирном доме по договорам оказания услуг по содержанию и (или) выполнению работ по ремонту внутридомовых электрических систем) реконструкции, в результате которой будут устранены обстоятельства, являющиеся причиной технической невозможности установки прибора учета и получения обращения от такого собственника об установке прибора учета. Сетевая организация вправе установить прибор учета на объектах электросетевого хозяйства (за исключением коллективных (общедомовых) приборов учета), принадлежащих на праве собственности или ином законном основании такой сетевой организации, с уведомлением собственника ветхого и (или) аварийного объекта об отсутствии необходимости устранения обстоятельств, являющихся причиной технической невозможности установки прибора учета в границах таких объектов.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148. В случае если прибор учета, в том числе коллективный (общедомовый) прибор учета в многоквартирном доме, не расположен на границе балансовой принадлежности объектов электроэнергетики (энергопринимающих устройств) смежных субъектов, объем потребления (производства, передачи) электрической энергии, определенный на основании показаний такого прибора учета, в целях осуществления расчетов по договору подлежит корректировке на величину потерь электрической энергии, возникающих на участке сети от границы балансовой принадлежности объектов электроэнергетики (энергопринимающих устройств) до места установки прибора учета. Расчет величины потерь в таком случае осуществляется сетевой организацией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 по электрическим сетям.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Если по состоянию на 1 июля 2020 г. в договоре энергоснабжения, договоре оказания услуг по передаче электрической энергии сторонами согласована методика выполнения измерений, аттестованная в установленном порядке, то при расчете величины потерь используется такая методика, кроме случаев, когда одна из сторон заявила о необходимости использования указанного в настоящем пункте акта уполномоченного федерального органа. В этом случае расчет величины потерь в соответствии с актом уполномоченного федерального органа производится с 1-го числа месяца, следующего за месяцем, в котором одна из сторон в письменной форме направила заявление об использовании такого расчета.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149. В случае заключения договора энергоснабжения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такие лица обязаны оплачивать часть стоимости электрической энергии, потребленной при использовании объектов инфраструктуры и другого имущества общего пользования садоводческих или огороднических некоммерческих объединений, и часть потерь электрической энергии, возникающих в объектах электросетевого хозяйства, относящихся к имуществу общего пользования, расположенному в границах территории садоводства или огородничества, в адрес такого садоводческого или огороднического некоммерческого товарищества.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этом порядок расчета подлежащей оплате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части стоимости электрической энергии, потребленной при </w:t>
      </w:r>
      <w:r>
        <w:rPr>
          <w:rFonts w:ascii="Arial" w:hAnsi="Arial" w:cs="Arial"/>
          <w:sz w:val="20"/>
          <w:szCs w:val="20"/>
        </w:rPr>
        <w:lastRenderedPageBreak/>
        <w:t>использовании объектов инфраструктуры и другого имущества, относящегося к имуществу общего пользования, расположенному в границах территории садоводства или огородничества, и части потерь электрической энергии, возникающих в объектах электросетевого хозяйства, относящегося к имуществу общего пользования, расположенному в границах территории садоводства или огородничества, должен быть одинаковым для всех граждан, осуществляющих ведение садоводства или огородничества на земельных участках, расположенных в границах территории садоводства или огородничества, или иных правообладателей объектов недвижимости, расположенных в границах территории садоводства или огородничества, вне зависимости от наличия договора энергоснабжения, заключенного в соответствии с настоящим документом между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и гарантирующим поставщиком или энергосбытовой (энергоснабжающей) организацией.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150. Многоквартирные дома, вводимые в эксплуатацию с 1 января 2021 г. после осуществления строительства, должны быть оснащены индивидуальными (общими для коммунальной квартиры) приборами учета электрической энергии в жилых и нежилых помещениях многоквартирного дома, коллективными (общедомовыми) приборами учета и при необходимости измерительными трансформаторами, которые обеспечивают возможность их присоединения к интеллектуальным системам учета электрической энергии (мощности), в соответствии с требованиями, установленными </w:t>
      </w:r>
      <w:hyperlink r:id="rId534" w:history="1">
        <w:r>
          <w:rPr>
            <w:rFonts w:ascii="Arial" w:hAnsi="Arial" w:cs="Arial"/>
            <w:color w:val="0000FF"/>
            <w:sz w:val="20"/>
            <w:szCs w:val="20"/>
          </w:rPr>
          <w:t>правилами</w:t>
        </w:r>
      </w:hyperlink>
      <w:r>
        <w:rPr>
          <w:rFonts w:ascii="Arial" w:hAnsi="Arial" w:cs="Arial"/>
          <w:sz w:val="20"/>
          <w:szCs w:val="20"/>
        </w:rPr>
        <w:t xml:space="preserve"> предоставления доступа к минимальному набору функций интеллектуальных систем учета электрической энергии (мощности). Указанные приборы учета (измерительные трансформаторы) должны быть допущены в эксплуатацию, а также переданы застройщиком в эксплуатацию гарантирующему поставщику, в зоне деятельности которого расположен многоквартирный дом, до введения такого многоквартирного дома в эксплуатацию.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45" w:name="Par1305"/>
      <w:bookmarkEnd w:id="145"/>
      <w:r>
        <w:rPr>
          <w:rFonts w:ascii="Arial" w:hAnsi="Arial" w:cs="Arial"/>
          <w:sz w:val="20"/>
          <w:szCs w:val="20"/>
        </w:rPr>
        <w:t>151. Сетевые организации и гарантирующие поставщики осуществляют установку либо замену прибора учета в случаях, не связанных с технологическим присоединением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в порядке, предусмотренном настоящим пунктом.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Установка (замена) прибора учета электрической энергии и допуск в эксплуатацию прибора учета электрической энергии должны быть осуществлены не позднее 6 месяцев: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 даты истечения интервала между поверками или срока эксплуатации прибора учета, если соответствующая дата (срок) установлена в договоре энергоснабжения (оказания услуг по передаче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иных случаях при нахождении прибора учета в границах балансовой принадлежности энергопринимающих устройств (объектов по производству электрической энергии (мощности), объектов электросетевого хозяйства) - с даты получения обращения потребителя (производителя) электрической энергии, сетевой организации или иного владельца объектов электросетевого хозяйства об истечении интервала между поверками, срока эксплуатации, а также об утрате, о выходе прибора учета из строя и (или) его неисправности. Обращение в отношении коллективного (общедомового) прибора учета направляется лицом, осуществляющим управление многоквартирным домом, а при непосредственном управлении собственниками помещений в многоквартирном доме - лицом, уполномоченным общим собранием собственников помещений;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 даты выявления истечения срока поверки, срока эксплуатации, неисправности прибора учета в ходе проведения его проверки в установленном настоящим документом порядке;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 даты признания прибора учета утраченным.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Сетевая организация в случае неисполнения или ненадлежащего исполнения указанных обязанностей по установке, замене и допуску в эксплуатацию прибора учета уплачивает потребителю электрической энергии, в отношении которого нарушены соответствующие обязанности, неустойку в размере 50 процентов стоимости услуг по передаче электрической энергии за каждый месяц с момента истечения указанного в настоящем пункте срока, в течение которого должен быть установлен и введен в эксплуатацию прибор учета, до даты ввода прибора учета в эксплуатацию. В случае если прибор учета не будет установлен сетевой организацией в течение 3 месяцев с момента истечения указанного в настоящем </w:t>
      </w:r>
      <w:r>
        <w:rPr>
          <w:rFonts w:ascii="Arial" w:hAnsi="Arial" w:cs="Arial"/>
          <w:sz w:val="20"/>
          <w:szCs w:val="20"/>
        </w:rPr>
        <w:lastRenderedPageBreak/>
        <w:t>пункте срока, размер неустойки увеличивается до 100 процентов стоимости услуг по передаче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Указанная неустойка учитывается при определении стоимости услуг по передаче электрической энергии (мощности) по договору на передачу электрической энергии начиная с расчетного периода, в котором получена претензия о неисполнении соответствующих обязанностей, но не ранее 6 месяцев с момента наступления одного из событий, повлекших необходимость установки или замены прибора учета и ввода его в эксплуатацию. В случае заключения потребителем электрической энергии договора энергоснабжения гарантирующий поставщик (энергосбытовая, энергоснабжающая организация) учитывает указанную неустойку при определении обязательств по договору энергоснабжения в том же расчетном периоде и в том размере, в котором неустойка была учтена сетевой организацией при определении стоимости услуг по передаче.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Гарантирующий поставщик в случае неисполнения или ненадлежащего исполнения указанных обязанностей по установке, замене и допуску в эксплуатацию коллективного (общедомового) прибора учета обязан ежемесячно уплачивать сетевой организации неустойку в размере 50 процентов стоимости услуг по передаче электрической энергии в объеме потребления электрической энергии на общедомовые нужды, определенном как максимум из 2 значений - объема потребления электрической энергии на указанные цели, определенного исходя из норматива потребления электрической энергии в целях содержания общедомового имущества в многоквартирном доме, и фактического среднемесячного потребления электрической энергии на указанные цели исходя из имеющихся показаний коллективного (общедомового) прибора учета за последние 12 месяцев, за каждый месяц с момента истечения указанного в настоящем пункте срока, в течение которого должен быть установлен и введен в эксплуатацию коллективный (общедомовой) прибор учета, до даты ввода прибора учета в эксплуатацию.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если коллективный (общедомовой) прибор учета не будет установлен гарантирующим поставщиком в течение 3 месяцев с момента истечения указанного в настоящем пункте срока, размер неустойки увеличивается до 100 процентов стоимости услуг по передаче электрической энергии в объеме потребления электрической энергии на общедомовые нужды. Указанная неустойка учитывается при определении стоимости услуг по передаче в отношении соответствующей точки поставки за соответствующий расчетный период.</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Сетевая организация, имеющая намерение установить либо заменить прибор учета электрической энергии, направляет запрос на установку (замену) прибора учета способом, позволяющим подтвердить факт его получения, в адрес следующих организаций (лиц):</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гарантирующий поставщик (энергосбытовая, энергоснабжающая организация), с которым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собственник (владелец) энергопринимающих устройств (объектов по производству электрической энергии (мощности), объектов электросетевого хозяйства), в отношении которых планируется установка либо замена прибора учета.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Гарантирующий поставщик, имеющий намерение установить либо заменить коллективный (общедомовой) прибор учета, направляет запрос на установку (замену) прибора учета способом, позволяющим подтвердить факт получения такого запроса, в адрес следующих организаций (лиц):</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сетевая организация, к объектам электросетевого хозяйства которой присоединен многоквартирный жилой дом.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таком запросе на установку (замену) прибора учета должны быть указаны:</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реквизиты и контактные данные лица, направившего запрос, включая номер телефона, а также причины установки либо замены ранее установленного прибора учета;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место нахождения энергопринимающих устройств (объектов электроэнергетики), в отношении которых лицо, направившее запрос, имеет намерение установить или заменить прибор учета;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предлагаемые места установки прибора учета в случае, если они отличаются от ранее согласованных мест установки, с обоснованием причины изменения места установки;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информация о приборе учета и (или) об ином оборудовании, которые предполагается установить и заменить;</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предполагаемые дата и время совершения действий по установке и допуску в эксплуатацию приборов учета (при необходимости допуска в эксплуатацию);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обязанность собственника (владельца) энергопринимающих устройств (объектов по производству электрической энергии (мощности), объектов электросетевого хозяйства), в отношении которых планируется установка либо замена прибора учета, по обеспечению допуска сетевой организации к местам установки приборов учета, а также последствия недопуска, предусмотренные настоящим разделом;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обязанность лица, осуществляющего управление многоквартирным домом, а при непосредственном управлении собственниками помещений в многоквартирном доме - лица, уполномоченного общим собранием собственников помещений, по обеспечению допуска гарантирующего поставщика к месту установки коллективного (общедомового) прибора учета, а также последствия недопуска, предусмотренные настоящим разделом и жилищным законодательством Российской Федерации;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информация о действиях, которые в соответствии с настоящим пунктом такая сетевая организация или гарантирующий поставщик вправе предпринять в случае, если им будет отказано в доступе к месту установки приборов учета (если запрос направляется соответствующими организациями).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Собственник (владелец) энергопринимающих устройств (объектов по производству электрической энергии (мощности), объектов электросетевого хозяйства), 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 в течение 10 рабочих дней со дня получения запроса об установке (о замене) прибора учета электрической энергии обязаны либо подтвердить предложенные дату и время допуска к местам установки приборов учета для совершения действий по установке (замене) и допуску в эксплуатацию приборов учета либо согласовать иные дату и (или) время.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Собственник (владелец) энергопринимающих устройств (объектов по производству электрической энергии (мощности), объектов электросетевого хозяйства), в границах объектов электроэнергетики (энергопринимающих устройств) которого предложены места установки прибора учета, 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 вправе отказать в установке прибора учета при отсутствии технической возможности установки прибора учета в месте, указанном в запросе на установку (замену) прибора учета. При этом, если таким собственником (владельцем) объектов электросетевого хозяйства является сетевая организация, она обязана указать в своем отказе возможные места установки прибора учета.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подтвержденные дату и время сетевая организация, гарантирующий поставщик осуществляют действия по установке (замене) прибора учета.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ненаправлении собственником (владельцем) энергопринимающих устройств сетевой организации (гарантирующему поставщику) в установленный срок ответа на запрос на установку (замену) прибора учета, при получении ответа об отказе в установке прибора учета или при двукратном недопуске к месту установки прибора учета, но не ранее 4 месяцев с момента первого недопуска, прибор учета подлежит установке в ином месте, максимально приближенном к границе балансовой принадлежности, с уведомлением лиц, которым направлялся запрос на установку (замену) прибора учета, о смене места установки с указанием адреса такого места иных лиц, которые в соответствии с настоящим пунктом принимают участие в процедуре допуска прибора учета в эксплуатацию.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этом после двукратного недопуска объем потребления электрической энергии для расчета за потребленную электрическую энергию (мощность) и оказанные услуги по передаче электрической энергии, объем производства электрической энергии (мощности) и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определяются в порядке, предусмотренном </w:t>
      </w:r>
      <w:hyperlink w:anchor="Par1529" w:history="1">
        <w:r>
          <w:rPr>
            <w:rFonts w:ascii="Arial" w:hAnsi="Arial" w:cs="Arial"/>
            <w:color w:val="0000FF"/>
            <w:sz w:val="20"/>
            <w:szCs w:val="20"/>
          </w:rPr>
          <w:t>пунктом 182</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Ответственность сетевой организации (гарантирующего поставщика - в отношении коллективного (общедомового) прибора учета), предусмотренная настоящим пунктом, за неисполнение или ненадлежащее исполнение обязанностей по установке, замене и допуску в эксплуатацию прибора учета не возникает в случае, если причиной неисполнения таких обязанностей стал недопуск к местам установки расчетных приборов учета, в то время как техническая возможность установки прибора учета в ином месте, максимально приближенном к границе балансовой принадлежности, отсутствует.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152. В случаях, предусмотренных </w:t>
      </w:r>
      <w:hyperlink w:anchor="Par1283" w:history="1">
        <w:r>
          <w:rPr>
            <w:rFonts w:ascii="Arial" w:hAnsi="Arial" w:cs="Arial"/>
            <w:color w:val="0000FF"/>
            <w:sz w:val="20"/>
            <w:szCs w:val="20"/>
          </w:rPr>
          <w:t>пунктом 145</w:t>
        </w:r>
      </w:hyperlink>
      <w:r>
        <w:rPr>
          <w:rFonts w:ascii="Arial" w:hAnsi="Arial" w:cs="Arial"/>
          <w:sz w:val="20"/>
          <w:szCs w:val="20"/>
        </w:rPr>
        <w:t xml:space="preserve"> настоящего документа, собственник (владелец) энергопринимающих устройств (объектов по производству электрической энергии (мощности), объектов электросетевого хозяйства), имеющий намерение установить либо заменить прибор учета электрической энергии, направляет запрос на установку (замену) прибора учета способом, позволяющим подтвердить факт получения такого запроса, в адрес следующих лиц:</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сетевая организация, к объектам электросетевого хозяйства которой присоединены энергопринимающие устройства (объекты по производству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гарантирующий поставщик;</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энергосбытовая (энергоснабжающая организация), с которой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таком запросе на установку (замену) прибора учета должны быть указаны:</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реквизиты и контактные данные лица, направившего запрос, включая номер телефона, а также причины установки либо замены ранее установленного прибора учета, в том числе входящего в состав измерительного комплекса;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место нахождения энергопринимающих устройств (объектов энергетики), в отношении которых лицо, направившее запрос, имеет намерение установить или заменить прибор учета;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номер договора энергоснабжения (купли-продажи (поставки) электрической энергии (мощности), оказания услуг по передаче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предлагаемые места установки прибора учета, в случае если они отличаются от ранее согласованных мест установки, с обоснованием причины изменения места установки;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информация о приборе учета и (или) об ином оборудовании, которые предполагается установить и заменить;</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предполагаемые дата и время совершения действий по установке и допуску в эксплуатацию приборов учета (при необходимости допуска в эксплуатацию).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Сетевая организация, получившая запрос об установке (замене) прибора учета электрической энергии от собственника (владельца) энергопринимающих устройств (объектов по производству электрической энергии (мощности), объектов электросетевого хозяйства), обязана в течение 10 рабочих дней со дня его получения согласовать места установки прибора учета, схемы подключения прибора учета и иных компонентов измерительных комплексов и систем учета. При этом она не вправе указывать товарные знаки, знаки обслуживания, фирменные наименования, патенты, полезные модели, промышленные образцы, наименования мест происхождения приборов учета или наименования производителей приборов учета.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Сетевая организация вправе отказать в согласовании мест установки, схемы в следующих случаях:</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отсутствие технической возможности установки системы учета или прибора учета в отношении указанных в запросе энергопринимающих устройств (объектов по производству электрической энергии (мощности), объектов электросетевого хозяйства) на объектах электросетевого хозяйства сетевой организации;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несоответствие предложенных собственником (владельцем) в запросе мест установки, схем подключения требованиям законодательства Российской Федерации.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При этом сетевая организация обязана указать в своем отказе предложения о местах установки прибора учета, схемах подключения прибора учета и иных компонентов измерительных комплексов и систем учета, при соблюдении которых установка будет возможна.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нарушении сетевой организацией установленных в настоящем пункте сроков направления собственнику (владельцу) энергопринимающих устройств (объектов по производству электрической энергии (мощности), объектов электросетевого хозяйства) ответа на его запрос такой запрос считается согласованным на условиях, соответствующих установленным законодательством Российской Федерации требованиям к местам установки прибора учета, схемам подключения прибора учета и иным компонентам измерительных комплексов и систем учета.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46" w:name="Par1353"/>
      <w:bookmarkEnd w:id="146"/>
      <w:r>
        <w:rPr>
          <w:rFonts w:ascii="Arial" w:hAnsi="Arial" w:cs="Arial"/>
          <w:sz w:val="20"/>
          <w:szCs w:val="20"/>
        </w:rPr>
        <w:t>153. Допуск в эксплуатацию прибора учета осуществляется в порядке, предусмотренном настоящим пунктом. Процедура допуска в эксплуатацию прибора учета не требуется в случае, если в рамках процедуры установки (замены) прибора учета сохраняются контрольные пломбы и знаки визуального контроля, установленные ранее при допуске в эксплуатацию соответствующего прибора учета.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Сетевые организации осуществляют допуск в эксплуатацию приборов учета, которые установлены для обеспечения коммерческого учета электрической энергии (мощности) в отношении непосредственно или опосредованно присоединенных к принадлежащим им на праве собственности или ином законном основании объектам электросетевого хозяйства энергопринимающих устройств потребителей электрической энергии (мощности), объектов по производству электрической энергии (мощности) на розничных рынках и объектов электросетевого хозяйства, принадлежащих сетевым организациям и иным лицам, за исключением коллективных (общедомовых) приборов учета электрической энергии, с приглашением иных лиц, указанных в </w:t>
      </w:r>
      <w:hyperlink w:anchor="Par1305" w:history="1">
        <w:r>
          <w:rPr>
            <w:rFonts w:ascii="Arial" w:hAnsi="Arial" w:cs="Arial"/>
            <w:color w:val="0000FF"/>
            <w:sz w:val="20"/>
            <w:szCs w:val="20"/>
          </w:rPr>
          <w:t>пункте 151</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Гарантирующие поставщики осуществляют допуск в эксплуатацию коллективных (общедомовых) приборов учета электрической энергии, которые установлены для обеспечения коммерческого учета электрической энергии (мощности), в отношении расположенных в их зоне деятельности многоквартирных домов, с приглашением иных лиц, указанных в </w:t>
      </w:r>
      <w:hyperlink w:anchor="Par1305" w:history="1">
        <w:r>
          <w:rPr>
            <w:rFonts w:ascii="Arial" w:hAnsi="Arial" w:cs="Arial"/>
            <w:color w:val="0000FF"/>
            <w:sz w:val="20"/>
            <w:szCs w:val="20"/>
          </w:rPr>
          <w:t>пункте 151</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технологическом присоединении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допуск в эксплуатацию приборов учета электрической энергии, установленных в процессе технологического присоединения, осуществляется сетевой организацией одновременно с осмотром присоединяемых электроустановок заявителя, предусмотренным Правилами технологического присоединения.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Для допуска в эксплуатацию установленного в процессе технологического присоединения прибора учета сетевая организация, если иное не установлено </w:t>
      </w:r>
      <w:hyperlink r:id="rId535" w:history="1">
        <w:r>
          <w:rPr>
            <w:rFonts w:ascii="Arial" w:hAnsi="Arial" w:cs="Arial"/>
            <w:color w:val="0000FF"/>
            <w:sz w:val="20"/>
            <w:szCs w:val="20"/>
          </w:rPr>
          <w:t>Правилами</w:t>
        </w:r>
      </w:hyperlink>
      <w:r>
        <w:rPr>
          <w:rFonts w:ascii="Arial" w:hAnsi="Arial" w:cs="Arial"/>
          <w:sz w:val="20"/>
          <w:szCs w:val="20"/>
        </w:rPr>
        <w:t xml:space="preserve"> технологического присоединения, обязана за 3 календарных дня до проведения осмотра присоединяемых электроустановок заявителя пригласить для участия в процедуре указанного допуска гарантирующего поставщика, в зоне деятельности которого расположены присоединяемые электроустановки, и субъекта розничного рынка, указанного в заявке, с которым заявитель намеревается заключить договор энергоснабжения (купли-продажи (поставки) электрической энергии (мощности), либо субъекта розничного рынка, с которым заявителем заключен указанный договор.</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Допуск в эксплуатацию прибора учета осуществляется при участии уполномоченных представителей лиц, которым направлялся запрос на установку (замену) прибора учета или приглашение для участия в процедуре допуска.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 окончании допуска в эксплуатацию прибора учета в местах и способом, которые определены в соответствии с законодательством Российской Федерации об обеспечении единства измерений и о техническом регулировании, подлежит установке контрольная одноразовая номерная пломба (далее - контрольная пломба) и (или) знаки визуального контроля.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Контрольная пломба и (или) знаки визуального контроля устанавливаются организацией, осуществляющей допуск в эксплуатацию прибора учета.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Процедура установки и допуска прибора учета в эксплуатацию заканчивается составлением акта допуска прибора учета электрической энергии в эксплуатацию по форме, предусмотренной </w:t>
      </w:r>
      <w:hyperlink r:id="rId536" w:history="1">
        <w:r>
          <w:rPr>
            <w:rFonts w:ascii="Arial" w:hAnsi="Arial" w:cs="Arial"/>
            <w:color w:val="0000FF"/>
            <w:sz w:val="20"/>
            <w:szCs w:val="20"/>
          </w:rPr>
          <w:t>приложением N 16</w:t>
        </w:r>
      </w:hyperlink>
      <w:r>
        <w:rPr>
          <w:rFonts w:ascii="Arial" w:hAnsi="Arial" w:cs="Arial"/>
          <w:sz w:val="20"/>
          <w:szCs w:val="20"/>
        </w:rPr>
        <w:t xml:space="preserve"> к Правилам технологического присоединения.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При составлении акта допуска прибора учета электрической энергии в эксплуатацию в разделе "прочее" акта указывается выбранный потребителем способ направления уведомления о присоединении прибора учета электрической энергии к интеллектуальной системе учета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Акт допуска прибора учета электрической энергии в эксплуатацию составляется в количестве экземпляров, равном числу приглашенных лиц, и подписывается уполномоченными представителями приглашенных лиц, которые приняли участие в процедуре допуска прибора учета в эксплуатацию. При отказе уполномоченного представителя приглашенного лица от подписания составленного акта в нем делается соответствующая отметка. Отказ уполномоченного представителя приглашенного лица от подписания составленного акта не является основанием для недопуска прибора учета в эксплуатацию.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неявки для участия в процедуре допуска прибора учета в эксплуатацию лиц и (или) их представителей из числа тех, кому направлялся запрос на установку (замену) прибора учета или приглашение для участия в процедуре допуска прибора учета в эксплуатацию, такая процедура проводится без их участия. Лицо, составившее акт допуска прибора учета в эксплуатацию, обязано в течение 2 рабочих дней со дня проведения такой процедуры направить копии такого акта лицам, не явившимся для участия в процедуре допуска прибора учета в эксплуатацию.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Для точек присоединения к объектам электросетевого хозяйства напряжением свыше 1 кВ по итогам процедуры допуска в эксплуатацию прибора учета, установленного (подключенного) через измерительные трансформаторы, дополнительно составляется паспорт-протокол измерительного комплекса. Паспорт-протокол измерительного комплекса должен содержать в том числе описание прибора учета и измерительных трансформаторов (номер, тип, дату поверки), интервал между поверками, расчет погрешности измерительного комплекса, величину падения напряжения в измерительных цепях трансформатора напряжения, нагрузку токовых цепей трансформатора тока. Паспорт-протокол измерительного комплекса должен находиться у собственника прибора учета, входящего в состав измерительного комплекса, и актуализироваться по мере проведения инструментальных проверок.</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154. Демонтаж приборов учета и (или) иного оборудования, которые используются для обеспечения коммерческого учета электрической энергии (мощности), для случаев, не связанных с их заменой, допускается при необходимости проведения работ по капитальному ремонту или реконструкции объектов в местах установки соответствующих приборов учета.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Собственники приборов учета и (или) иного оборудования, используемых для обеспечения коммерческого учета электрической энергии (мощности), имеющие намерение демонтировать такие приборы учета и (или) иное оборудование, а также собственники (владельцы) объектов, на которых установлены приборы учета и (или) иное оборудование, используемых для обеспечения коммерческого учета электрической энергии (мощности), обязаны направить уведомление способом, позволяющим подтвердить факт его получения, в адрес лиц, которые в соответствии с </w:t>
      </w:r>
      <w:hyperlink w:anchor="Par1353" w:history="1">
        <w:r>
          <w:rPr>
            <w:rFonts w:ascii="Arial" w:hAnsi="Arial" w:cs="Arial"/>
            <w:color w:val="0000FF"/>
            <w:sz w:val="20"/>
            <w:szCs w:val="20"/>
          </w:rPr>
          <w:t>пунктом 153</w:t>
        </w:r>
      </w:hyperlink>
      <w:r>
        <w:rPr>
          <w:rFonts w:ascii="Arial" w:hAnsi="Arial" w:cs="Arial"/>
          <w:sz w:val="20"/>
          <w:szCs w:val="20"/>
        </w:rPr>
        <w:t xml:space="preserve"> настоящего документа могут принимать участие в процедуре допуска соответствующего прибора учета в эксплуатацию. Указанное уведомление должно содержать предлагаемые дату и время демонтажа прибора учета и причины такого демонтажа, но не ранее 7 рабочих дней со дня его направления.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Лица, которые в соответствии с </w:t>
      </w:r>
      <w:hyperlink w:anchor="Par1353" w:history="1">
        <w:r>
          <w:rPr>
            <w:rFonts w:ascii="Arial" w:hAnsi="Arial" w:cs="Arial"/>
            <w:color w:val="0000FF"/>
            <w:sz w:val="20"/>
            <w:szCs w:val="20"/>
          </w:rPr>
          <w:t>пунктом 153</w:t>
        </w:r>
      </w:hyperlink>
      <w:r>
        <w:rPr>
          <w:rFonts w:ascii="Arial" w:hAnsi="Arial" w:cs="Arial"/>
          <w:sz w:val="20"/>
          <w:szCs w:val="20"/>
        </w:rPr>
        <w:t xml:space="preserve"> настоящего документа могут принимать участие в процедуре допуска соответствующего прибора учета в эксплуатацию, в течение 5 рабочих дней со дня получения уведомления обязаны рассмотреть и согласовать предложенные в заявке дату и время демонтажа прибора учета, а в случае невозможности исполнения такой заявки в предложенный в ней срок обязаны согласовать с сетевой организацией (гарантирующим поставщиком, иным собственником прибора учета и (или) измерительных трансформаторов) иные дату и время, но не превышающие 10 рабочих дней с даты и времени, которые предложены в заявке.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согласованные дату и время сетевая организация (гарантирующий поставщик - в отношении коллективных (общедомовых) приборов учета), осуществляет снятие показаний прибора учета. Показания прибора учета, состояние демонтируемого прибора учета и (или) измерительных трансформаторов, схемы их подключения на дату проведения указанных действий фиксируются сетевой организацией (гарантирующим поставщиком - в отношении коллективных (общедомовых) приборов учета) в акте демонтажа прибора учета, который подписывается указанной сетевой организацией (гарантирующим поставщиком - в отношении коллективных (общедомовых) приборов учета), а также лицами, которые уведомлены в соответствии с настоящим пунктом о демонтаже прибора учета и приняли участие в процедуре демонтажа прибора учета.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Сетевая организация (гарантирующий поставщик - в отношении коллективных (общедомовых) приборов учета) обязана передать лицам, подписавшим акт проверки, по одному экземпляру такого акта и направить копию акта демонтажа приглашенным лицам, которые не приняли участие в процедуре демонтажа прибора учета, в течение 3 рабочих дней со дня составления акта демонтажа.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если сетевая организация имеет намерение демонтировать прибор учета, установленный на границе балансовой принадлежности со смежной сетевой организацией, она обращается в смежную сетевую организацию с заявкой о необходимости снятия показаний прибора учета и его осмотра перед демонтажем, а копию заявки направляет гарантирующему поставщику (энергосбытовой, энергоснабжающей организации), у которого такая сетевая организация приобретает электрическую энергию (мощность) в целях компенсации потерь электрической энергии. Смежная сетевая организация, получившая заявку, обязана организовать и провести снятие показаний прибора учета и его осмотр перед демонтажем в соответствии с требованиями настоящего пункта.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Прибор учета должен быть установлен не позднее 6 месяцев с момента составления акта демонтажа. С момента демонтажа и до установки прибора учета объем потребляемой электрической энергии определяется в соответствии с </w:t>
      </w:r>
      <w:hyperlink w:anchor="Par1515" w:history="1">
        <w:r>
          <w:rPr>
            <w:rFonts w:ascii="Arial" w:hAnsi="Arial" w:cs="Arial"/>
            <w:color w:val="0000FF"/>
            <w:sz w:val="20"/>
            <w:szCs w:val="20"/>
          </w:rPr>
          <w:t>пунктом 179</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155. Лицами, ответственными за снятие показаний расчетного прибора учета, являются: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сетевые организации в отношении приборов учета, присоединенных к интеллектуальным системам учета электрической энергии (мощности) соответствующей сетевой организации, а также иных расчетных приборов учета, расположенных в границах объектов электросетевого хозяйства сетевых организаций или в границах бесхозяйных объектов электросетевого хозяйства;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гарантирующие поставщики в отношении коллективных (общедомовых) приборов учета, присоединенных к интеллектуальным системам учета электрической энергии (мощности) соответствующего гарантирующего поставщика;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потребители (покупатели), производители электрической энергии (мощности) на розничных рынках, собственники (владельцы) объектов электросетевого хозяйства в отношении расчетных приборов учета, установленных в границах объектов таких лиц и не присоединенных к интеллектуальным системам учета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156. Субъект розничного рынка, использующий систему учета, допущенную в эксплуатацию в установленном настоящим разделом порядке, за исключением интеллектуальной системы учета электрической энергии (мощности), вправе на основании соглашения о порядке информационного обмена показаниями осуществлять представление показаний такой системы учета другой стороне по договору энергоснабжения (купли-продажи (поставки) электрической энергии (мощности), договору оказания услуг по передаче электрической энергии, договору оказания услуг по оперативно-диспетчерскому управлению в электроэнергетике, соглашению о технологическом взаимодействии с системным оператором в целях обеспечения надежности функционирования Единой энергетической системы России, а также иным лицам в случаях, указанных в настоящем разделе, включая смежных субъектов электроэнергетики, с которыми отсутствуют договорные отношения, путем предоставления им удаленного доступа для получения показаний приборов учета, входящих в такую систему учета, при условии, если имеется техническая возможность предоставления такого доступа без внесения каких-либо изменений в систему учета.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соглашении о порядке информационного обмена показаниями содержатся: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описание схемы сбора и передачи информации;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перечни точек, в отношении которых осуществляется обмен информацией;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формат и условия обмена информацией, в том числе порядок обмена информацией в случае выявления неисправностей в каналах связи;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сведения о лице, ответственном за обслуживание приборов учета.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Порядок и условия представления гарантирующими поставщиками и сетевыми организациями информации интеллектуальных систем учета электрической энергии (мощности) устанавливаются </w:t>
      </w:r>
      <w:hyperlink r:id="rId537" w:history="1">
        <w:r>
          <w:rPr>
            <w:rFonts w:ascii="Arial" w:hAnsi="Arial" w:cs="Arial"/>
            <w:color w:val="0000FF"/>
            <w:sz w:val="20"/>
            <w:szCs w:val="20"/>
          </w:rPr>
          <w:t>правилами</w:t>
        </w:r>
      </w:hyperlink>
      <w:r>
        <w:rPr>
          <w:rFonts w:ascii="Arial" w:hAnsi="Arial" w:cs="Arial"/>
          <w:sz w:val="20"/>
          <w:szCs w:val="20"/>
        </w:rPr>
        <w:t xml:space="preserve"> предоставления доступа к минимальному набору функций интеллектуальных систем учета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157. Если иные время и дата снятия показаний расчетных приборов учета, в том числе используемых в соответствии с настоящим документом в качестве контрольных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снятие показаний расчетных приборов учета должно осуществляться: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отношении коллективных (общедомовых) приборов учета - с 23-го до окончания 25-го дня расчетного месяца, а также по состоянию на 00 часов 00 минут дня расторжения (заключения) договора энергоснабжения, договора оказания услуг по передаче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отношении приборов учета, установленных в жилых домах, - до окончания 25-го дня расчетного месяца, а также по состоянию на 00 часов 00 минут дня расторжения (заключения) договора энергоснабжения, договора оказания услуг по передаче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отношении иных приборов учета - по состоянию на 00 часов 00 минут первого дня месяца, следующего за расчетным периодом, а также дня расторжения (заключения) договора энергоснабжения (купли-продажи (поставки) электрической энергии (мощности), договора оказания услуг по передаче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158. Снятие показаний расчетного прибора учета, не присоединенного к интеллектуальной системе учета электрической энергии (мощности), оформляется актом снятия показаний расчетного прибора учета и подписывается лицом, ответственным за снятие показаний прибора учета, а также представителями сетевой организации и (или) гарантирующего поставщика (энергосбытовой, энергоснабжающей организации) в случае, если в соответствии с условиями договора ими осуществляется совместное снятие показаний расчетного прибора учета.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47" w:name="Par1389"/>
      <w:bookmarkEnd w:id="147"/>
      <w:r>
        <w:rPr>
          <w:rFonts w:ascii="Arial" w:hAnsi="Arial" w:cs="Arial"/>
          <w:sz w:val="20"/>
          <w:szCs w:val="20"/>
        </w:rPr>
        <w:t>159. Лицо, ответственное за снятие показаний прибора учета, обеспечивает представление показаний расчетного прибора учета другой стороне договора энергоснабжения (купли-продажи (поставки) электрической энергии (мощности), договора оказания услуг по передаче электрической энергии в сроки, предусмотренные настоящим документом и (или) таким договором.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Если иные время и дата представления показаний расчетных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показания расчетных приборов учета (в том числе их почасовые значения в случае наличия интервального прибора учета и осуществления расчетов за электрическую энергию (мощность) и (или) за услуги по передаче электрической энергии с использованием ставки за мощность) представляются другой стороне договора в следующем порядке: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отношении коллективных (общедомовых) приборов учета и приборов учета, установленных в отношении жилых домов, - до окончания 26-го дня расчетного месяца;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отношении иных приборов учета - до окончания первого дня месяца, следующего за расчетным периодом, а также в течение суток, следующих за датой расторжения (заключения) договора энергоснабжения (купли-продажи (поставки) электрической энергии (мощности), договора оказания услуг по передаче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отношении расчетных приборов учета, не присоединенных к интеллектуальным системам учета электрической энергии (мощности), показания представляются в течение последующих 3 рабочих дней с использованием телефонной связи, электронной почты или иным способом, позволяющим подтвердить факт их получения, указанным в договоре, а также при необходимости в письменной форме или в виде электронного документа, подписанного электронной подписью, - акта снятия показаний расчетных приборов учета.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отношении расчетных приборов учета, присоединенных к интеллектуальным системам учета электрической энергии (мощности), показания представляются с использованием интеллектуальной системы учета электрической энергии (мощности) в соответствии с требованиями </w:t>
      </w:r>
      <w:hyperlink r:id="rId538" w:history="1">
        <w:r>
          <w:rPr>
            <w:rFonts w:ascii="Arial" w:hAnsi="Arial" w:cs="Arial"/>
            <w:color w:val="0000FF"/>
            <w:sz w:val="20"/>
            <w:szCs w:val="20"/>
          </w:rPr>
          <w:t>правил</w:t>
        </w:r>
      </w:hyperlink>
      <w:r>
        <w:rPr>
          <w:rFonts w:ascii="Arial" w:hAnsi="Arial" w:cs="Arial"/>
          <w:sz w:val="20"/>
          <w:szCs w:val="20"/>
        </w:rPr>
        <w:t xml:space="preserve"> предоставления доступа к минимальному набору функций интеллектуальных систем учета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Показания контрольного прибора учета, когда он не используется в соответствии с настоящим документом в качестве расчетного прибора учета, снимает лицо, ответственное за снятие показаний прибора учета, в сроки, установленные в настоящем пункте для снятия показаний расчетных приборов </w:t>
      </w:r>
      <w:r>
        <w:rPr>
          <w:rFonts w:ascii="Arial" w:hAnsi="Arial" w:cs="Arial"/>
          <w:sz w:val="20"/>
          <w:szCs w:val="20"/>
        </w:rPr>
        <w:lastRenderedPageBreak/>
        <w:t>учета, которое ведет учет снятых показаний контрольного прибора учета. Показания контрольного прибора учета, когда он не используется в соответствии с настоящим документом в качестве расчетного прибора учета, передаются по запросу контрагента по договору энергоснабжения (купли-продажи (поставки) электрической энергии (мощности), договору оказания услуг по передаче электрической энергии в течение 2 рабочих дней со дня получения такого запроса, если иной срок их передачи не установлен соответствующим договором.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160. Потребитель (покупатель) в случаях, когда он является лицом, ответственным за снятие показаний прибора учета, имеющий договор купли-продажи (поставки) электрической энергии (мощности) и договор оказания услуг по передаче электрической энергии, если иное не определено в указанных договорах, передает информацию о показаниях расчетных приборов учета, не присоединенных к интеллектуальным системам учета электрической энергии (мощности), в том числе контрольных приборов учета, используемых в соответствии с настоящим документом в качестве расчетных приборов учета, гарантирующему поставщику (энергосбытовой, энергоснабжающей организации) и сетевой организации в сроки и в порядке, которые указаны в </w:t>
      </w:r>
      <w:hyperlink w:anchor="Par1389" w:history="1">
        <w:r>
          <w:rPr>
            <w:rFonts w:ascii="Arial" w:hAnsi="Arial" w:cs="Arial"/>
            <w:color w:val="0000FF"/>
            <w:sz w:val="20"/>
            <w:szCs w:val="20"/>
          </w:rPr>
          <w:t>пункте 159</w:t>
        </w:r>
      </w:hyperlink>
      <w:r>
        <w:rPr>
          <w:rFonts w:ascii="Arial" w:hAnsi="Arial" w:cs="Arial"/>
          <w:sz w:val="20"/>
          <w:szCs w:val="20"/>
        </w:rPr>
        <w:t xml:space="preserve"> настоящего документа. Если условиями договора купли-продажи (поставки) электрической энергии (мощности) и договора оказания услуг по передаче электрической энергии определено, что потребитель передает информацию о показаниях расчетных приборов учета, в том числе используемых в соответствии с настоящим документом в качестве расчетных контрольных приборов учета, только сетевой организации либо только гарантирующему поставщику (энергосбытовой, энергоснабжающей организации), то в этом случае лицо, получившее от потребителя показания расчетного прибора учета, обязано передать эти данные другому лицу до окончания 2-го числа месяца, следующего за расчетным периодом.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если сетевая организация снимает показания расчетного прибора учета, в том числе контрольного прибора учета, используемого в соответствии с настоящим документом в качестве расчетного прибора учета, установленного в границах принадлежащих ей объектов электросетевого хозяйства либо эксплуатируемых ею бесхозяйных объектов электросетевого хозяйства, на основании показаний которого осуществляются расчеты с потребителем, с которым такой сетевой организацией заключен договор оказания услуг по передаче электрической энергии, то сетевая организация обязана сообщать в сроки и в порядке, которые указаны в </w:t>
      </w:r>
      <w:hyperlink w:anchor="Par1389" w:history="1">
        <w:r>
          <w:rPr>
            <w:rFonts w:ascii="Arial" w:hAnsi="Arial" w:cs="Arial"/>
            <w:color w:val="0000FF"/>
            <w:sz w:val="20"/>
            <w:szCs w:val="20"/>
          </w:rPr>
          <w:t>пункте 159</w:t>
        </w:r>
      </w:hyperlink>
      <w:r>
        <w:rPr>
          <w:rFonts w:ascii="Arial" w:hAnsi="Arial" w:cs="Arial"/>
          <w:sz w:val="20"/>
          <w:szCs w:val="20"/>
        </w:rPr>
        <w:t xml:space="preserve"> настоящего документа, информацию о показаниях такого прибора учета как указанному потребителю, так и обслуживающему его гарантирующему поставщику (энергосбытовой, энергоснабжающей организации).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161. Производитель электрической энергии (мощности) на розничных рынках в случаях, когда он является лицом, ответственным за снятие показаний прибора учета, передает показания приборов учета, не присоединенных к интеллектуальным системам учета электрической энергии (мощности), сетевой организации, к объектам электросетевого хозяйства которой присоединены принадлежащие им объекты по производству электрической энергии (мощности), а также гарантирующему поставщику, в зоне деятельности которого расположены такие объекты по производству электрической энергии (мощности) посредством телефонной связи, электронной почты или иных средств связи, согласованных с сетевой организацией (гарантирующим поставщиком), до окончания первого дня месяца, следующего за расчетным периодом, а также в виде электронного документа - акта снятия показаний расчетных приборов учета, подписанного электронной подписью в течение последующих 3 рабочих дней.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Передаваемые данные должны содержать следующую информацию: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почасовые объемы производства электрической энергии, определенные исходя из показаний расчетных (контрольных) приборов учета, расположенных в местах присоединения объекта по производству электрической энергии (мощности) к энергопринимающим устройствам и (или) иным объектам электроэнергетики такого производителя;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почасовые объемы перетоков электрической энергии на границе с объектами электросетевого хозяйства сетевой организации, к которым присоединен объект по производству электрической энергии (мощности) производителя электрической энергии (мощности) на розничном рынке, а также на границе с объектами электроэнергетики, энергопринимающими устройствами иных субъектов розничных рынков, определенные по показаниям расчетных (контрольных) приборов учета, расположенных на границе балансовой принадлежности производителя электрической энергии (мощности) на розничном рынке и смежных субъектов (потребителей, сетевых организаций) с учетом особенностей, предусмотренных </w:t>
      </w:r>
      <w:hyperlink w:anchor="Par1289" w:history="1">
        <w:r>
          <w:rPr>
            <w:rFonts w:ascii="Arial" w:hAnsi="Arial" w:cs="Arial"/>
            <w:color w:val="0000FF"/>
            <w:sz w:val="20"/>
            <w:szCs w:val="20"/>
          </w:rPr>
          <w:t>пунктом 147</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162. Гарантирующий поставщик (энергосбытовая, энергоснабжающая организация) передает в сетевую организацию, с которой у гарантирующего поставщика (энергосбытовой, энергоснабжающей организацией) заключен договор оказания услуг по передаче электрической энергии, в виде электронного документа, подписанного электронной подписью, до 5-го числа месяца, следующего за расчетным периодом, реестр, содержащий данные об объеме потребления электрической энергии в отношении жилых домов, многоквартирных домов (с распределением по каждому дому). В отношении многоквартирных домов, не оборудованных коллективными (общедомовыми) приборами учета, реестр должен содержать данные об объеме потребления электрической энергии в жилых и нежилых помещениях в таких многоквартирных домах.</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Объемы потребления электрической энергии формируются гарантирующим поставщиком (энергосбытовой, энергоснабжающей организацией) на дату составления реестра в порядке, предусмотренном </w:t>
      </w:r>
      <w:hyperlink r:id="rId539" w:history="1">
        <w:r>
          <w:rPr>
            <w:rFonts w:ascii="Arial" w:hAnsi="Arial" w:cs="Arial"/>
            <w:color w:val="0000FF"/>
            <w:sz w:val="20"/>
            <w:szCs w:val="20"/>
          </w:rPr>
          <w:t>Правилами</w:t>
        </w:r>
      </w:hyperlink>
      <w:r>
        <w:rPr>
          <w:rFonts w:ascii="Arial" w:hAnsi="Arial" w:cs="Arial"/>
          <w:sz w:val="20"/>
          <w:szCs w:val="20"/>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или на основании данных, полученных от исполнителя коммунальных услуг в лице управляющей организации, товарищества собственников жилья, жилищного кооператива и иного специализированного потребительского кооператива или сетевой организации.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Реестр должен содержать информацию об адресе каждого многоквартирного дома, жилого дома и номерах помещений в многоквартирном доме. В случае отсутствия в реестре данных об объеме потребления электрической энергии в каком-либо жилом доме или помещении в многоквартирном доме сетевая организация определяет объем потребления электрической энергии в целях расчета фактических потерь электрической энергии, возникших за расчетный период в объектах электросетевого хозяйства этой сетевой организации, а также объем оказанных услуг по передаче электрической энергии в отношении таких жилых домов и многоквартирных домов в соответствии с порядком определения объема потребления коммунальной услуги по электроснабжению, предусмотренным </w:t>
      </w:r>
      <w:hyperlink r:id="rId540" w:history="1">
        <w:r>
          <w:rPr>
            <w:rFonts w:ascii="Arial" w:hAnsi="Arial" w:cs="Arial"/>
            <w:color w:val="0000FF"/>
            <w:sz w:val="20"/>
            <w:szCs w:val="20"/>
          </w:rPr>
          <w:t>Правилами</w:t>
        </w:r>
      </w:hyperlink>
      <w:r>
        <w:rPr>
          <w:rFonts w:ascii="Arial" w:hAnsi="Arial" w:cs="Arial"/>
          <w:sz w:val="20"/>
          <w:szCs w:val="20"/>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для случаев непредставления потребителями коммунальных услуг показаний приборов учета. По письменному запросу сетевой организации гарантирующий поставщик (энергосбытовая, энергоснабжающая организация) в течение 5 рабочих дней представляет ей копии документов (в том числе в виде электронных документов), подтверждающих данные об объемах потребления электрической энергии в жилых домах и помещениях многоквартирных домов, указанные гарантирующим поставщиком (энергосбытовой, энергоснабжающей организацией) в реестре, но не более чем по 20 процентам точек поставки, содержащихся в реестре.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Сетевая организация, получившая от гарантирующего поставщика (энергосбытовой, энергоснабжающей организации) указанные в настоящем пункте сведения о показаниях приборов учета и копии актов снятия показаний приборов учета, полученные от потребителей, энергопринимающие устройства которых присоединены к объектам электросетевого хозяйства другой сетевой организации, обязана в течение одного рабочего дня после их получения передать их в адрес той сетевой организации, к объектам электросетевого хозяйства которой присоединены энергопринимающие устройства таких потребителей.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163. В случае снятия показаний потребителями (покупателями), производителями электрической энергии (мощности) на розничных рынках, собственниками (владельцами) объектов электросетевого хозяйства в отношении расчетных приборов учета, установленных в границах их объектов и не присоединенных к интеллектуальным системам учета электрической энергии (мощности), гарантирующий поставщик (энергосбытовая, энергоснабжающая организация) передает сетевой организации полученные от указанных лиц, осуществляющих снятие показаний, если иные время и дата передачи показаний расчетных приборов учета не установлены договором оказания услуг по передаче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сведения о показаниях расчетных приборов учета, в том числе используемых в соответствии с настоящим документом в качестве контрольных приборов учета, до окончания 2-го рабочего дня месяца, следующего за расчетным периодом, в виде электронного документа на адрес электронной почты, указанной в договоре;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копии актов снятия показаний расчетных приборов учета, в том числе используемых в соответствии с настоящим документом в качестве контрольных приборов учета, не позднее 5-го рабочего дня месяца, следующего за расчетным периодом, в том числе в виде электронного документа, подписанного электронной подписью.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непредставлении в установленные сроки гарантирующим поставщиком (энергосбытовой, энергоснабжающей организацией) копий указанных актов сетевая организация (гарантирующий поставщик) определяет объем потребления электрической энергии в целях определения фактических потерь электрической энергии, возникших за расчетный период в объектах электросетевого хозяйства такой сетевой организации, а также объем оказанных услуг по передаче электрической энергии в отношении тех точек поставки, по которым не представлены копии указанных актов, в соответствии с </w:t>
      </w:r>
      <w:hyperlink w:anchor="Par1410" w:history="1">
        <w:r>
          <w:rPr>
            <w:rFonts w:ascii="Arial" w:hAnsi="Arial" w:cs="Arial"/>
            <w:color w:val="0000FF"/>
            <w:sz w:val="20"/>
            <w:szCs w:val="20"/>
          </w:rPr>
          <w:t>пунктами 164</w:t>
        </w:r>
      </w:hyperlink>
      <w:r>
        <w:rPr>
          <w:rFonts w:ascii="Arial" w:hAnsi="Arial" w:cs="Arial"/>
          <w:sz w:val="20"/>
          <w:szCs w:val="20"/>
        </w:rPr>
        <w:t xml:space="preserve"> и </w:t>
      </w:r>
      <w:hyperlink w:anchor="Par1515" w:history="1">
        <w:r>
          <w:rPr>
            <w:rFonts w:ascii="Arial" w:hAnsi="Arial" w:cs="Arial"/>
            <w:color w:val="0000FF"/>
            <w:sz w:val="20"/>
            <w:szCs w:val="20"/>
          </w:rPr>
          <w:t>179</w:t>
        </w:r>
      </w:hyperlink>
      <w:r>
        <w:rPr>
          <w:rFonts w:ascii="Arial" w:hAnsi="Arial" w:cs="Arial"/>
          <w:sz w:val="20"/>
          <w:szCs w:val="20"/>
        </w:rPr>
        <w:t xml:space="preserve"> - </w:t>
      </w:r>
      <w:hyperlink w:anchor="Par1522" w:history="1">
        <w:r>
          <w:rPr>
            <w:rFonts w:ascii="Arial" w:hAnsi="Arial" w:cs="Arial"/>
            <w:color w:val="0000FF"/>
            <w:sz w:val="20"/>
            <w:szCs w:val="20"/>
          </w:rPr>
          <w:t>181</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48" w:name="Par1410"/>
      <w:bookmarkEnd w:id="148"/>
      <w:r>
        <w:rPr>
          <w:rFonts w:ascii="Arial" w:hAnsi="Arial" w:cs="Arial"/>
          <w:sz w:val="20"/>
          <w:szCs w:val="20"/>
        </w:rPr>
        <w:t>164. В случае непредставления показаний лицом, ответственным за снятие показаний расчетного прибора учета в сроки, установленные в настоящем разделе или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и объема производства электрической энергии (мощности) за расчетный период при наличии в соответствующем договоре контрольного прибора учета используются показания такого контрольного прибора учета.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Показания контрольного прибора учета используются при определении объема потребления электрической энергии (мощности) за расчетный период в отношении потребителя, осуществляющего расчеты за электрическую энергию (мощность) с применением цены (тарифа), дифференцированной по зонам суток, в том случае, если контрольный прибор учета позволяет измерять объемы потребления электрической энергии по зонам суток.</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Показания контрольного прибора учета используются при определении объема потребления электрической энергии (мощности) за расчетный период в отношении потребителя, осуществляющего расчеты за электрическую энергию (мощность) с применением цены (тарифа), дифференцированной по часам суток, в том случае, если контрольный прибор учета позволяет измерять объемы потребления электрической энергии по часам суток.</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165. Сетевая организация в случае неисполнения или ненадлежащего исполнения обязанностей по предоставлению показаний расчетного прибора учета другой стороне договора оказания услуг по передаче электрической энергии в сроки, предусмотренные настоящим документом, в течение 6 расчетных периодов подряд обязана начиная с седьмого расчетного периода, за который не представлены показания, уплачивать другой стороне договора, в отношении которой нарушены соответствующие обязанности, неустойку в размере 50 процентов стоимости услуг по передаче по соответствующей точке поставки за каждый месяц вплоть до начала представления показаний расчетного прибора учета другой стороне договора оказания услуг по передаче электрической энергии в сроки, предусмотренные настоящим документом. Указанная неустойка учитывается при определении стоимости услуг по договору на оказание услуг по передаче электрической энергии начиная с расчетного периода, в котором получена претензия о неисполнении соответствующих обязанностей. В случае заключения потребителем электрической энергии договора энергоснабжения гарантирующий поставщик (энергосбытовая, энергоснабжающая организация) учитывает указанную неустойку при определении обязательств по договору энергоснабжения в том же расчетном периоде и в том размере, в котором неустойка была учтена сетевой организацией при определении стоимости услуг по передаче.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Гарантирующий поставщик в случае неисполнения или ненадлежащего исполнения в течение 6 расчетных периодов подряд обязанностей по представлению показаний расчетного коллективного (общедомового) прибора учета другой стороне договора оказания услуг по передаче электрической энергии в сроки, предусмотренные настоящим документом, начиная с 7-го расчетного периода, за который не представлены показания, уплачивает сетевой организации неустойку по договору в размере 50 процентов стоимости услуг по передаче по соответствующей точке поставки в объеме потребления электрической энергии на общедомовые нужды, определенном как максимум из 2 значений - объема потребления электрической энергии на указанные цели, определенного исходя из норматива потребления электрической энергии в целях содержания общедомового имущества в многоквартирном доме, и фактического среднемесячного потребления электрической энергии на указанные цели исходя из имеющихся показаний коллективного (общедомового) прибора учета за последние 12 месяцев, за каждый месяц вплоть до начала предоставления показаний расчетного прибора учета другой стороне договора оказания услуг по передаче </w:t>
      </w:r>
      <w:r>
        <w:rPr>
          <w:rFonts w:ascii="Arial" w:hAnsi="Arial" w:cs="Arial"/>
          <w:sz w:val="20"/>
          <w:szCs w:val="20"/>
        </w:rPr>
        <w:lastRenderedPageBreak/>
        <w:t>электрической энергии в сроки, предусмотренные настоящим документом. Указанная неустойка учитывается при определении стоимости услуг по передаче в отношении соответствующей точки поставки.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Проверка правильности снятия показаний расчетных приборов учета (далее - контрольное снятие показаний), не включенных в интеллектуальную систему учета гарантирующего поставщика или сетевой организации осуществляется не чаще одного раза в месяц.</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отношении расчетных приборов учета, не присоединенных к интеллектуальным системам учета электрической энергии (мощности), контрольное снятие показаний осуществляется сетевой организацией, к объектам электросетевого хозяйства которой непосредственно или опосредованно присоединены энергопринимающие устройства потребителей (объекты по производству электрической энергии (мощности) производителей электрической энергии (мощности) на розничных рынках), в отношении которых установлены указанные расчетные приборы учета, если иное не установлено в договоре оказания услуг по передаче электрической энергии, заключенном такой сетевой организацией с другой сетевой организацией.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Для проведения контрольного снятия показаний сетевая организация вправе привлекать третьих лиц, в этом случае ответственность за действия таких третьих лиц, в том числе перед гарантирующим поставщиком (энергосбытовой, энергоснабжающей организацией), несет сетевая организация.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Сетевая организация проводит контрольное снятие показаний приборов учета, не присоединенных к интеллектуальным системам учета электрической энергии (мощности), в соответствии с разработанным ею планом-графиком проведения контрольного снятия показаний. Такой план-график сетевая организация составляет в отношении точек поставки потребителей (производителей электрической энергии (мощности) на розничных рынках), энергопринимающие устройства (объекты по производству электрической энергии (мощности) которых присоединены, в том числе опосредованно, к объектам электросетевого хозяйства такой сетевой организации. План-график проведения контрольного снятия показаний сетевая организация доводит до сведения гарантирующего поставщика (энергосбытовой, энергоснабжающей организации) в отношении тех точек поставки потребителей, обслуживание которых осуществляет такой гарантирующий поставщик (энергосбытовая, энергоснабжающая организация).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если в отношении каких-либо точек поставки сетевой организацией не были проведены контрольные снятия показаний в соответствии с планом-графиком проведения контрольного снятия показаний, контрольные снятия показаний в отношении соответствующих точек поставки вправе осуществить гарантирующий поставщик (энергосбытовая, энергоснабжающая организация), который в отношении таких точек поставки осуществляет продажу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Соглашением между сетевой организацией и гарантирующим поставщиком (энергосбытовой, энергоснабжающей организацией) может быть определено, что контрольное снятие показаний осуществляет гарантирующий поставщик (энергосбытовая, энергоснабжающая организация) в отношении всех или части точек поставки.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указанных случаях гарантирующий поставщик (энергосбытовая, энергоснабжающая организация) осуществляет контрольное снятие показаний в порядке, аналогичном установленному в настоящем разделе порядку для его проведения сетевой организацией.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166. В случае если для проведения контрольного снятия показаний сетевой организацией (гарантирующим поставщиком - в отношении коллективных (общедомовых) приборов учета) требуется допуск к энергопринимающим устройствам (объектам по производству электрической энергии (мощности), объектам электросетевого хозяйства), в границах которых установлен расчетный прибор учета, то сетевая организация (гарантирующий поставщик) за 5 рабочих дней до планируемой даты его проведения направляет собственнику (владельцу) (лицу, осуществляющему управление многоквартирным домом, а при непосредственном управлении собственниками помещений в многоквартирном доме - лицу, уполномоченному общим собранием собственников помещений) уведомление о необходимости обеспечения допуска, содержащее дату и время проведения контрольного снятия показаний, указанные в плане-графике проведения контрольного снятия показаний, а также информацию о последствиях недопуска.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недопуска сетевой организации (гарантирующего поставщика - в отношении коллективных (общедомовых) приборов учета) к приборам учета в указанные в уведомлении дату и время сетевая организация (гарантирующий поставщик) составляет акт о недопуске к приборам учета, в котором указывает дату и время, когда произошел факт недопуска, адрес энергопринимающих устройств (объектов </w:t>
      </w:r>
      <w:r>
        <w:rPr>
          <w:rFonts w:ascii="Arial" w:hAnsi="Arial" w:cs="Arial"/>
          <w:sz w:val="20"/>
          <w:szCs w:val="20"/>
        </w:rPr>
        <w:lastRenderedPageBreak/>
        <w:t>по производству электрической энергии (мощности), объектов электросетевого хозяйства), в отношении которых установлен прибор учета, допуск к которому не был обеспечен, и обоснования необходимости такого допуска. Указанный акт составляется в количестве экземпляров по числу участвующих лиц и подписывается уполномоченными представителями сетевой организации и гарантирующего поставщика (энергоснабжающей, энергосбытовой организации).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После этого сетевая организация (гарантирующий поставщик - в отношении коллективных (общедомовых) приборов учета) повторно направляет потребителю (производителю электрической энергии (мощности) на розничном рынке) указанное уведомление. При повторном недопуске сетевой организации (гарантирующего поставщика) к проведению контрольного снятия показаний применяется порядок определения объемов потребления электрической энергии (мощности), предусмотренный </w:t>
      </w:r>
      <w:hyperlink w:anchor="Par1529" w:history="1">
        <w:r>
          <w:rPr>
            <w:rFonts w:ascii="Arial" w:hAnsi="Arial" w:cs="Arial"/>
            <w:color w:val="0000FF"/>
            <w:sz w:val="20"/>
            <w:szCs w:val="20"/>
          </w:rPr>
          <w:t>пунктом 182</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Для участия в проведении контрольного снятия показаний сетевая организация, к чьим объектам электросетевого хозяйства опосредованно присоединены энергопринимающие устройства (объектам по производству электрической энергии (мощности), приглашает лицо, владеющее на праве собственности или ином законном основании энергопринимающими устройствами и (или) объектами электроэнергетики, к которым непосредственно присоединены такие энергопринимающие устройства (объектам по производству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167. Результаты контрольного снятия показаний сетевая организация (гарантирующий поставщик - в отношении коллективных (общедомовых) приборов учета) оформляет актом контрольного снятия показаний, который подписывается сетевой организацией (гарантирующим поставщиком - в отношении коллективных (общедомовых) приборов учета) и иными лицами, приглашенными к участию в контрольном снятии показаний в установленном настоящим разделом порядке, в случае присутствия таких лиц. При отказе потребителя (производителя электрической энергии (мощности) на розничном рынке) от подписания акта в нем указывается причина такого отказа. Акт составляется в количестве экземпляров по числу лиц, участвовавших в проведении контрольного снятия показаний.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Если для проведения контрольного снятия показаний не требуется допуск к энергопринимающим устройствам (объектам по производству электрической энергии (мощности) и такое контрольное снятие показаний проводилось в отсутствие потребителя (производителя электрической энергии (мощности) на розничном рынке), акт контрольного снятия показаний подписывается сетевой организацией (гарантирующим поставщиком - в отношении коллективных (общедомовых) приборов учета) и иными лицами, приглашенными к участию в контрольном снятии показаний в установленном настоящим разделом порядке, в случае присутствия таких лиц.</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Лицо, осуществлявшее контрольное снятие показаний, передает гарантирующему поставщику (энергосбытовой, энергоснабжающей организации, сетевой организации), в случае если тот не участвовал в проведении контрольного снятия показаний, копии актов контрольного снятия показаний в течение 3 рабочих дней после их составления.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Показания расчетных приборов учета, полученные в ходе контрольного снятия показаний, могут быть использованы для определения объема потребления (производства) электрической энергии (мощности) потребителем (производителем электрической энергии (мощности) на розничном рынке) и для расчета стоимости электрической энергии, услуг по передаче электрической энергии за расчетный период, в котором такое контрольное снятие показаний проводилось. При несогласии потребителя (производителя электрической энергии (мощности) на розничном рынке), который не участвовал в контрольном снятии показаний, с показаниями расчетного прибора учета, указанными в акте контрольного снятия показаний, такой потребитель вправе обратиться к гарантирующему поставщику (энергосбытовой, энергоснабжающей организации) и (или) сетевой организации с требованием о проведении повторного контрольного снятия показаний в его присутствии и (или) присутствии гарантирующего поставщика (энергосбытовой, энергоснабжающей организации).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168. Проверка правильности снятия показаний расчетных приборов учета, включенных в интеллектуальную систему учета сетевой организации или гарантирующего поставщика (в отношении коллективных (общедомовых) приборов учета), обеспечивается путем предоставления возможности дистанционного снятия показаний приборов учета по требованию иных владельцев интеллектуальных систем в порядке, установленном </w:t>
      </w:r>
      <w:hyperlink r:id="rId541" w:history="1">
        <w:r>
          <w:rPr>
            <w:rFonts w:ascii="Arial" w:hAnsi="Arial" w:cs="Arial"/>
            <w:color w:val="0000FF"/>
            <w:sz w:val="20"/>
            <w:szCs w:val="20"/>
          </w:rPr>
          <w:t>правилами</w:t>
        </w:r>
      </w:hyperlink>
      <w:r>
        <w:rPr>
          <w:rFonts w:ascii="Arial" w:hAnsi="Arial" w:cs="Arial"/>
          <w:sz w:val="20"/>
          <w:szCs w:val="20"/>
        </w:rPr>
        <w:t xml:space="preserve"> предоставления доступа к минимальному набору функций интеллектуальных систем учета электрической энергии (мощности), либо не чаще одного раза в месяц путем контрольного снятия показаний в порядке, предусмотренном настоящим документом, на основании </w:t>
      </w:r>
      <w:r>
        <w:rPr>
          <w:rFonts w:ascii="Arial" w:hAnsi="Arial" w:cs="Arial"/>
          <w:sz w:val="20"/>
          <w:szCs w:val="20"/>
        </w:rPr>
        <w:lastRenderedPageBreak/>
        <w:t>заявления в присутствии субъекта розничных рынков, в отношении которого обязательства по договору энергоснабжения (купли-продажи (поставки) электрической энергии (мощности) или договору оказания услуг по передаче электрической энергии) определяются с использованием показаний такого прибора учета. В таком случае сетевая организация или гарантирующий поставщик организовывает контрольное снятие показаний не позднее 10 рабочих дней с даты поступления указанного заявления. Контрольное снятие показаний также вправе потребовать гарантирующий поставщик (энергосбытовая, энергоснабжающая организация) в отношении точек поставки обслуживаемых потребителей либо производителей электрической энергии (мощности) на розничных рынках - сторон по договору купли-продажи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Указанное заявление подается в адрес гарантирующего поставщика (сетевой организации, если контрольное снятие показаний требуется в рамках определения обязательств по договору оказания услуг по передаче электрической энергии). Гарантирующий поставщик, за исключением случаев контрольного снятия показаний коллективных (общедомовых) приборов учета, в течение одного рабочего дня направляет полученное заявление сетевой организации, ответственной за снятие показаний по соответствующему прибору учета.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169. Сетевые организации и гарантирующие поставщики проверяют соблюдение требований настоящего документа, определяющих порядок учета электрической энергии, условий заключенных договоров энергоснабжения (купли-продажи (поставки) электрической энергии (мощности), договоров оказания услуг по передаче электрической энергии, договоров оказания услуг оперативно-диспетчерского управления в части организации коммерческого учета, а также проводят проверки на предмет выявления фактов безучетного потребления и бездоговорного потребления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 требованию потребителя или производителя электрической энергии (мощности) на розничных рынках может быть проведена проверка соблюдения сетевой организацией требований настоящего документа, определяющих порядок учета передаваемой электрической энергии, в отношении точек поставки соответствующего потребителя (производителя).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Гарантирующие поставщики, осуществляющие поставку электрической энергии (мощности) в многоквартирный дом, и (или) сетевые организации вправе провести проверку в отношении надлежащего технологического присоединения строений, зданий и (или) сооружений, расположенных на земельном участке многоквартирного дома или граничащих с ним земельных участках, к электрическим сетям, в том числе к внутридомовым электрическим сетям многоквартирного дома, с привлечением лиц, отвечающих за содержание указанных сетей, в целях выявления фактов бездоговорного потребления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170. Проверки расчетных приборов учета осуществляются в плановом и внеплановом порядке.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Плановые проверки приборов учета проводятся в отношении приборов учета, не присоединенных к интеллектуальным системам учета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Проверки расчетных приборов учета включают визуальный осмотр схемы подключения энергопринимающих устройств (объектов по производству электрической энергии (мощности) и схем соединения приборов учета, проверку соответствия приборов учета требованиям настоящего документа, проверку состояния прибора учета, наличия и сохранности контрольных пломб и знаков визуального контроля, в том числе соответствия пломб поверителя оттиску в свидетельстве о поверке и (или) записи в паспорте (формуляре) средства измерений, а также снятие показаний приборов учета. Указанная проверка проводится не реже одного раза в год и может осуществляться в виде инструментальной проверки.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Для целей настоящего документа под инструментальной проверкой понимается процесс оценки работоспособности прибора учета (измерительных трансформаторов и других элементов), заключающийся в проведении визуальной проверки и проверки характеристик элементов измерительного комплекса, устройств сбора и передачи данных, схемы их соединения с помощью инструментов и дополнительного оборудования.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Плановые проверки приборов учета осуществляются сетевой организацией, к объектам электросетевого хозяйства которой непосредственно или опосредованно присоединены энергопринимающие устройства (объекты по производству электрической энергии (мощности), в отношении которых установлены подлежащие проверке расчетные приборы учета, на основании плана-графика </w:t>
      </w:r>
      <w:r>
        <w:rPr>
          <w:rFonts w:ascii="Arial" w:hAnsi="Arial" w:cs="Arial"/>
          <w:sz w:val="20"/>
          <w:szCs w:val="20"/>
        </w:rPr>
        <w:lastRenderedPageBreak/>
        <w:t>проведения проверок расчетных приборов учета, разработанного и согласованного в соответствии с настоящим документом.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Соглашением между сетевой организацией и гарантирующим поставщиком (энергосбытовой, энергоснабжающей организацией) может быть определено, что плановая проверка расчетных приборов учета осуществляется гарантирующим поставщиком (энергосбытовой, энергоснабжающей организацией) в отношении всех точек поставки или их части.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если в отношении каких-либо точек поставки сетевой организацией не были проведены проверки расчетных приборов учета в соответствии с планом-графиком, указанным в настоящем документе, а также если в отношении каких-либо точек поставки за прошедшие 12 месяцев сетевой организацией не были проведены проверки приборов учета, то проверки приборов учета в отношении соответствующих точек поставки вправе провести гарантирующий поставщик (энергосбытовая, энергоснабжающая организация), который в отношении таких точек поставки осуществляет продажу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указанных случаях гарантирующий поставщик (энергосбытовая, энергоснабжающая организация) осуществляет проверки приборов учета в порядке, аналогичном установленному в настоящем разделе порядку для их проведения сетевой организацией.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Гарантирующий поставщик (энергосбытовая, энергоснабжающая организация) участвует в проведении проверок приборов учета в соответствии с настоящим пунктом и </w:t>
      </w:r>
      <w:hyperlink w:anchor="Par1452" w:history="1">
        <w:r>
          <w:rPr>
            <w:rFonts w:ascii="Arial" w:hAnsi="Arial" w:cs="Arial"/>
            <w:color w:val="0000FF"/>
            <w:sz w:val="20"/>
            <w:szCs w:val="20"/>
          </w:rPr>
          <w:t>пунктами 171</w:t>
        </w:r>
      </w:hyperlink>
      <w:r>
        <w:rPr>
          <w:rFonts w:ascii="Arial" w:hAnsi="Arial" w:cs="Arial"/>
          <w:sz w:val="20"/>
          <w:szCs w:val="20"/>
        </w:rPr>
        <w:t xml:space="preserve"> - </w:t>
      </w:r>
      <w:hyperlink w:anchor="Par1481" w:history="1">
        <w:r>
          <w:rPr>
            <w:rFonts w:ascii="Arial" w:hAnsi="Arial" w:cs="Arial"/>
            <w:color w:val="0000FF"/>
            <w:sz w:val="20"/>
            <w:szCs w:val="20"/>
          </w:rPr>
          <w:t>176</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Основаниями для проведения внеплановой проверки приборов учета являются: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полученное от гарантирующего поставщика (энергосбытовой, энергоснабжающей организации) заявление о необходимости проведения внеплановой проверки приборов учета в отношении обслуживаемых им точек поставки, но не более чем 10 процентов точек поставки, планируемых сетевой организацией (гарантирующим поставщиком) к проверке в соответствии с указанным планом-графиком в этом же расчетном периоде;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полученное от потребителя (производителя электрической энергии (мощности) на розничном рынке), энергопринимающие устройства (объекты по производству электрической энергии (мощности) которого непосредственно или опосредованно присоединены к объектам электросетевого хозяйства сетевой организации, заявление о необходимости проведения внеплановой проверки в отношении его точек поставки;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выявление факта нарушения сохранности контрольных пломб и (или) знаков визуального контроля при проведении снятия показаний или осмотра состояния расчетного прибора учета перед его демонтажем, осуществляемым в порядке, установленном настоящим документом;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срабатывание индикаторов вскрытия электронных пломб на корпусе и клемной крышки прибора учета, присоединенного к интеллектуальной системе учета электрической энергии (мощности), и факт события воздействия магнитных полей на элементы прибора учета, присоединенного к интеллектуальной системе учета электрической энергии (мощности) в соответствии с предельными значениями, определенными правилами предоставления доступа к минимальному набору функций интеллектуальных систем учета электрической энергии (мощности), неработоспособности прибора учета электрической энергии вследствие аппаратного или программного сбоя или отсутствия дистанционного опроса такого прибора учета, присоединенного к интеллектуальной системе учета электрической энергии (мощности) в течение одного месяца;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отсутствие показаний расчетного прибора учета 2 и более расчетных периодов подряд.</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Внеплановые проверки осуществляются сетевыми организациями, а в отношении коллективного (общедомового) прибора учета гарантирующими поставщиками.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Проверки приборов учета осуществляются с использованием средств фотосъемки и (или) видеозаписи и подлежат хранению, а также передаются вместе с актом о неучтенном потреблении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49" w:name="Par1452"/>
      <w:bookmarkEnd w:id="149"/>
      <w:r>
        <w:rPr>
          <w:rFonts w:ascii="Arial" w:hAnsi="Arial" w:cs="Arial"/>
          <w:sz w:val="20"/>
          <w:szCs w:val="20"/>
        </w:rPr>
        <w:lastRenderedPageBreak/>
        <w:t>171. Сетевая организация уведомляет ежемесячно, до 25-го числа текущего месяца, гарантирующего поставщика (энергосбытовую, энергоснабжающую организацию) о включенных в разработанный ею план-график проведения проверок расчетных приборов учета на следующий месяц точках поставки потребителей (производителей электрической энергии (мощности) на розничных рынках), обслуживание которых осуществляет такой гарантирующий поставщик (энергосбытовая, энергоснабжающая организация) и которые расположены в границах объектов электросетевого хозяйства сетевой организации, способом, позволяющим подтвердить факт получения уведомления.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Гарантирующий поставщик уведомляет ежемесячно, до 25-го числа текущего месяца, сетевую организацию о включенных в разработанный ею план-график проведения проверок коллективных (общедомовых) расчетных приборов учета на следующий месяц точках поставки многоквартирных домов, которые непосредственно (опосредованно) присоединены к объектам электросетевого хозяйства сетевой организации.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плане-графике проведения проверок расчетных приборов учета должны быть указаны точки поставки электрической энергии, в отношении которых проводится проверка, дата и время проведения проверки с учетом режима работы объекта и форма проверки.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Гарантирующий поставщик (энергосбытовая, энергоснабжающая организация, сетевая организация) в течение 2 рабочих дней обязан направить сетевой организации (гарантирующему поставщику, энергосбытовой, энергоснабжающей организации) ответ, содержащий: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согласие с планом-графиком проведения проверок расчетных приборов учета либо предложение об изменении состава планируемых к проверке точек поставки, но не более чем на 20 процентов точек поставки, планируемых к проверке в соответствии с этим планом-графиком, а также перечень точек поставки из числа точек поставки, согласованных для включения в указанный план-график для проведения инструментальной проверки;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перечень точек поставки, при проведении проверки в отношении которых планируется участие представителей гарантирующего поставщика (энергосбытовой, энергоснабжающей организации, сетевой организации).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172. Сетевая организация (гарантирующий поставщик) в случаях, предусмотренных пунктом 170 настоящего документа, обязана не позднее 3 рабочих дней со дня наступления соответствующих обязательств провести внеплановую проверку приборов учета с приглашением ее инициатора и заинтересованных сторон. В случае если для проведения проверки приборов учета лицу, проводящему проверку прибора учета, требуется допуск к энергопринимающим устройствам потребителя (объекту по производству электрической энергии (мощности), проверка прибора учета должна быть проведена не позднее 10 рабочих дней со дня получения заявления о необходимости проведения внеплановой проверки.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Форма внеплановой проверки приборов учета может быть указана в заявлении о необходимости проведения внеплановой проверки, в противном случае форму проверки выбирает сетевая организация (гарантирующий поставщик).</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если внеплановая проверка приборов учета проводится по заявлению потребителя (производителя электрической энергии (мощности) на розничном рынке), то сетевая организация обязана пригласить гарантирующего поставщика (энергосбытовую, энергоснабжающую организацию), обслуживающего этого потребителя (производителя электрической энергии (мощности) на розничном рынке), для участия в такой проверке. Потребитель (производитель электрической энергии (мощности) на розничном рынке) вправе привлекать к участию в проверке со своей стороны аккредитованных в установленном порядке в области обеспечения единства измерений юридических лиц (индивидуальных предпринимателей).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50" w:name="Par1461"/>
      <w:bookmarkEnd w:id="150"/>
      <w:r>
        <w:rPr>
          <w:rFonts w:ascii="Arial" w:hAnsi="Arial" w:cs="Arial"/>
          <w:sz w:val="20"/>
          <w:szCs w:val="20"/>
        </w:rPr>
        <w:t>173. Результаты проверки приборов учета оформляются актом проверки расчетного прибора учета, который составляется сетевой организацией (гарантирующим поставщиком), подписывается такой организацией и лицами, принимавшими участие в проверке. Акт составляется в количестве экземпляров по числу лиц, принимавших участие в проверке, по одному для каждого участника. При отказе лица, принимавшего участие в проверке, от подписания акта в нем указывается причина такого отказа.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Сетевая организация (гарантирующий поставщик) передает гарантирующему поставщику (энергосбытовой, энергоснабжающей организации, сетевой организации), в случае если он не участвовал в </w:t>
      </w:r>
      <w:r>
        <w:rPr>
          <w:rFonts w:ascii="Arial" w:hAnsi="Arial" w:cs="Arial"/>
          <w:sz w:val="20"/>
          <w:szCs w:val="20"/>
        </w:rPr>
        <w:lastRenderedPageBreak/>
        <w:t>проведении проверки, копии актов проверки расчетных приборов учета в течение 3 рабочих дней после их составления.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Результатом проверки прибора учета является заключение о пригодности расчетного прибора учета для осуществления расчетов за потребленную (произведенную) на розничных рынках электрическую энергию (мощность) и оказанные услуги по передаче электрической энергии, о соответствии (несоответствии) расчетного прибора учета требованиям, предъявляемым к такому прибору учета, а также о наличии (об отсутствии) безучетного потребления или о признании расчетного прибора учета утраченным.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акте проверки расчетного прибора учета должны быть указаны:</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дата, время и адрес проведения проверки, форма проверки и основание для проведения проверки;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лица, принявшие участие в проверке;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лица, приглашенные в соответствии с требованиями настоящего документа для участия в проверке, но не принявшие в ней участие;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характеристики и место установки проверяемого расчетного прибора учета (измерительных трансформаторов - при их наличии), показания прибора учета на момент проверки и дата истечения интервала между поверками прибора учета (измерительных трансформаторов);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соответствие оттиску поверителя в свидетельстве о поверке и (или) записи в паспорте (формуляре) средства измерений и место установки контрольных пломб и знаков визуального контроля, установленных на момент начала проверки, а также вновь установленных (если они менялись в ходе проверки);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результат проверки;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характеристики используемого при проведении проверки оборудования, в случае если проводится инструментальная проверка;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лица, отказавшиеся от подписания акта проверки либо несогласные с указанными в акте результатами проверки, и причины такого отказа либо несогласия.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несогласии лица, принимавшего участие в проверке прибора учета, с результатами проверки прибора учета должна быть сделана соответствующая отметка в акте проверки прибора учета с кратким описанием причин такого несогласия.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51" w:name="Par1474"/>
      <w:bookmarkEnd w:id="151"/>
      <w:r>
        <w:rPr>
          <w:rFonts w:ascii="Arial" w:hAnsi="Arial" w:cs="Arial"/>
          <w:sz w:val="20"/>
          <w:szCs w:val="20"/>
        </w:rPr>
        <w:t>174. В случае если для проведения проверки приборов учета лицу, проводящему проверку, требуется допуск к энергопринимающим устройствам потребителя (объекту по производству электрической энергии (мощности), то лицо, проводящее проверку прибора учета, за 5 рабочих дней до планируемой даты проведения проверки уведомляет потребителя (производителя электрической энергии (мощности) на розничном рынке) о дате и времени проведения такой проверки, а также о последствиях недопуска к расчетным приборам учета. При несогласии потребителя (производителя электрической энергии (мощности) на розничном рынке) с предложенными датой и (или) временем проведения проверки этот потребитель (производитель электрической энергии (мощности) на розничном рынке) направляет лицу, проводящему проверку, предложение об иных дате и (или) времени, но не позднее 10 рабочих дней со дня предложенной даты, после чего стороны обязаны согласовать иные дату и (или) время.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недопуска потребителем (производителем электрической энергии (мощности) на розничном рынке) лица, проводящего проверку прибора учета, к расчетным приборам учета в согласованные дату и время лицо, проводящее проверку, повторно направляет потребителю (производителю электрической энергии (мощности) на розничном рынке) уведомление с указанием даты и времени проведения проверки расчетных приборов учета, а также информацию о последствиях повторного недопуска к таким приборам учета в соответствии с </w:t>
      </w:r>
      <w:hyperlink w:anchor="Par1529" w:history="1">
        <w:r>
          <w:rPr>
            <w:rFonts w:ascii="Arial" w:hAnsi="Arial" w:cs="Arial"/>
            <w:color w:val="0000FF"/>
            <w:sz w:val="20"/>
            <w:szCs w:val="20"/>
          </w:rPr>
          <w:t>пунктом 182</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Для проведения проверки приборов учета, установленных в отношении энергопринимающих устройств (объектов по производству электрической энергии (мощности), опосредованно присоединенных к объектам электросетевого хозяйства сетевой организации, лицо, проводящее проверку, приглашает лицо, к энергопринимающим устройствам и объектам электроэнергетики которого непосредственно присоединены такие энергопринимающие устройства (объекты по производству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175. Лицо, являющееся собственником расчетного прибора учета и (или) энергопринимающих устройств (объектов электроэнергетики), в границах балансовой принадлежности (земельного участка) которых установлен расчетный прибор учета, принадлежащий другому лицу, при выявлении фактов его неисправности или утраты обязано в течение одних суток сообщить об этом другой стороне по договору энергоснабжения (купли-продажи (поставки) электрической энергии (мощности), оказания услуг по передаче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этом случае гарантирующий поставщик (энергосбытовая, энергоснабжающая организация) обязан после получения информации от потребителя в течение одних суток сообщить такую информацию в сетевую организацию, с которой таким гарантирующим поставщиком заключен договор оказания услуг по передаче электрической энергии в отношении энергопринимающих устройств такого потребителя.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если таким потребителем заключены договор купли-продажи (поставки) электрической энергии (мощности) и договор оказания услуг по передаче электрической энергии, то указанную информацию потребитель обязан в течение одних суток сообщить лицу (лицам), указанному в этих договорах в качестве получателя такой информации.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Лицо, к которому обращается потребитель, обязано уведомить его о требованиях к срокам восстановления учета электрической энергии путем установки и допуска в эксплуатацию расчетного прибора учета, а также о последствиях нарушения таких сроков.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52" w:name="Par1481"/>
      <w:bookmarkEnd w:id="152"/>
      <w:r>
        <w:rPr>
          <w:rFonts w:ascii="Arial" w:hAnsi="Arial" w:cs="Arial"/>
          <w:sz w:val="20"/>
          <w:szCs w:val="20"/>
        </w:rPr>
        <w:t xml:space="preserve">176. В случае если сетевой организацией в ходе проверки приборов учета смежной сетевой организации было установлено нарушение согласованного договором оказания услуг по передаче электрической энергии и установленного настоящим документом порядка учета электрической энергии со стороны сетевой организации, выразившееся в неисправности, утрате, истечении срока интервала между поверками расчетного прибора учета, срока эксплуатации расчетного прибора учета, который установлен в границах объектов электросетевого хозяйства сетевой организации и исходя из показаний которого определяются объемы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должен быть составлен акт проверки приборов учета смежной сетевой организации. Требования к содержанию указанного акта проверки приборов учета устанавливаются в соответствии с </w:t>
      </w:r>
      <w:hyperlink w:anchor="Par1461" w:history="1">
        <w:r>
          <w:rPr>
            <w:rFonts w:ascii="Arial" w:hAnsi="Arial" w:cs="Arial"/>
            <w:color w:val="0000FF"/>
            <w:sz w:val="20"/>
            <w:szCs w:val="20"/>
          </w:rPr>
          <w:t>пунктом 173</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Порядок уведомления смежной сетевой организации о планируемой проверке определяется аналогично порядку, предусмотренному </w:t>
      </w:r>
      <w:hyperlink w:anchor="Par1474" w:history="1">
        <w:r>
          <w:rPr>
            <w:rFonts w:ascii="Arial" w:hAnsi="Arial" w:cs="Arial"/>
            <w:color w:val="0000FF"/>
            <w:sz w:val="20"/>
            <w:szCs w:val="20"/>
          </w:rPr>
          <w:t>пунктом 174</w:t>
        </w:r>
      </w:hyperlink>
      <w:r>
        <w:rPr>
          <w:rFonts w:ascii="Arial" w:hAnsi="Arial" w:cs="Arial"/>
          <w:sz w:val="20"/>
          <w:szCs w:val="20"/>
        </w:rPr>
        <w:t xml:space="preserve"> настоящего документа в отношении потребителя (производителя электрической энергии (мощности) на розничном рынке).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Акт проверки приборов учета смежной сетевой организации является основанием для применения замещающей информации и расчетных способов, предусмотренных </w:t>
      </w:r>
      <w:hyperlink w:anchor="Par1515" w:history="1">
        <w:r>
          <w:rPr>
            <w:rFonts w:ascii="Arial" w:hAnsi="Arial" w:cs="Arial"/>
            <w:color w:val="0000FF"/>
            <w:sz w:val="20"/>
            <w:szCs w:val="20"/>
          </w:rPr>
          <w:t>пунктами 179</w:t>
        </w:r>
      </w:hyperlink>
      <w:r>
        <w:rPr>
          <w:rFonts w:ascii="Arial" w:hAnsi="Arial" w:cs="Arial"/>
          <w:sz w:val="20"/>
          <w:szCs w:val="20"/>
        </w:rPr>
        <w:t>, 180 и 184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53" w:name="Par1484"/>
      <w:bookmarkEnd w:id="153"/>
      <w:r>
        <w:rPr>
          <w:rFonts w:ascii="Arial" w:hAnsi="Arial" w:cs="Arial"/>
          <w:sz w:val="20"/>
          <w:szCs w:val="20"/>
        </w:rPr>
        <w:t>177. По факту выявленного в ходе проверки безучетного потребления или бездоговорного потребления электрической энергии сетевой организацией составляется акт о неучтенном потреблении электрической энергии и не позднее 3 рабочих дней с даты его составления передается в адрес:</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гарантирующего поставщика (энергосбытовой, энергоснабжающей организации), обслуживающего потребителя, осуществившего безучетное потребление;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лица, осуществившего бездоговорное потребление.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Факт безучетного потребления может быть выявлен в том числе при проведении проверки состояния приборов учета, а также в ходе проведения осмотра прибора учета перед его демонтажем.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если сетевая организация не присутствовала при проведении гарантирующим поставщиком (энергосбытовой, энергоснабжающей организацией) проверки состояния приборов учета, в результате которой был выявлен факт безучетного потребления, то акт о неучтенном потреблении электрической энергии составляется гарантирующим поставщиком (энергосбытовой, энергоснабжающей организацией) и не позднее 3 рабочих дней со дня его составления передается в сетевую организацию.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178. В акте о неучтенном потреблении электрической энергии, за исключением случая составления такого акта при выявлении бездоговорного потребления в период приостановления поставки электрической </w:t>
      </w:r>
      <w:r>
        <w:rPr>
          <w:rFonts w:ascii="Arial" w:hAnsi="Arial" w:cs="Arial"/>
          <w:sz w:val="20"/>
          <w:szCs w:val="20"/>
        </w:rPr>
        <w:lastRenderedPageBreak/>
        <w:t>энергии по договору в связи с введением полного ограничения режима потребления электрической энергии, должны содержаться: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данные о лице, осуществляющем безучетное потребление или бездоговорное потребление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данные о способе и месте осуществления безучетного потребления или бездоговорного потребления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данные о приборах учета на момент составления акта;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данные о дате предыдущей проверки приборов учета - в случае выявления безучетного потребления, дате предыдущей проверки технического состояния объектов электросетевого хозяйства в месте, где выявлено бездоговорное потребление электрической энергии, - в случае выявления бездоговорного потребления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данные о ранее установленных контрольных пломбах и (или) знаках визуального контроля с приложением документов, подтверждающих факт их установления (при установлении факта срыва и (или) нарушения сохранности установленных контрольных пломб и (или) знаков визуального контроля);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объяснение лица, осуществляющего безучетное или бездоговорное потребление электрической энергии, относительно выявленного факта;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замечания к составленному акту (при их наличии).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если при безучетном потреблении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документах о технологическом присоединении, в акте о неучтенном потреблении электрической энергии должны содержаться также следующие данные: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величина максимальной мощности энергопринимающих устройств потребителя, указанная в документах о технологическом присоединении;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фактическая мощность энергопринимающих устройств, используемая потребителем;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способ, с применением которого было выявлено превышение величины максимальной мощности энергопринимающих устройств потребителя, указанной в документах о технологическом присоединении;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действия потребителя, которые повлекли превышение величины максимальной мощности, указанной в договоре, обеспечивающем продажу электрической энергии (мощности) на розничном рынке (при наличии таких данных).</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акте о неучтенном потреблении электрической энергии, составляемом в случае выявления бездоговорного потребления электрической энергии в период приостановления поставки электрической энергии по договору в связи с введением полного ограничения режима потребления электрической энергии, должны содержаться: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данные о лице, осуществляющем бездоговорное потребление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дата введения полного ограничения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номера, место установки и показания приборов учета на дату и время введения полного ограничения режима потребления или дату и время предыдущей проверки введенного ограничения режима потребления электрической энергии (если снятие таких показаний осуществлялось);</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номера, место установки и показания приборов учета на дату и время составления акта о неучтенном потреблении электрической энергии (если снятие таких показаний осуществляется);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дата предыдущей проверки введенного ограничения режима потребления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данные о способе и месте осуществления бездоговорного потребления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замечания к составленному акту (при их наличии).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При составлении акта о неучтенном потреблении электрической энергии должен присутствовать потребитель, осуществляющий безучетное потребление (обслуживающий его гарантирующий поставщик (энергосбытовая, энергоснабжающая организация), или лицо, осуществляющее бездоговорное потребление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Акт о неучтенном потреблении электрической энергии может быть составлен в отсутствие лица, осуществляющего безучетное потребление или бездоговорное потребление электрической энергии, или обслуживающего его гарантирующего поставщика (энергосбытовой, энергоснабжающей организации).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этом лицо, составляющее акт о неучтенном потреблении электрической энергии, прикладывает к акту доказательства надлежащего уведомления потребителя о дате и времени составления акта. Уведомление потребителя о дате и времени составления акта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а в случае, когда указанным договором такой порядок не определен или договор отсутствует, - любым позволяющим подтвердить доставку указанного уведомления способом. В случае составления акта на месте выявления безучетного потребления или бездоговорного потребления электрической энергии в отсутствие лица, допустившего безучетное потребление или бездоговорное потребление электрической энергии, акт составляется с использованием средств фотосъемки и (или) видеозаписи, при этом материалы фотосъемки и (или) видеозаписи подлежат хранению и передаются вместе с актом о неучтенном потреблении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Отказ лица, осуществляющего безучетное потребление или бездоговорное потребление электрической энергии, от подписания составленного акта о неучтенном потреблении электрической энергии, а также его отказ присутствовать при составлении акта фиксируется с указанием причин такого отказа в акте о неучтенном потреблении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 факту выявленного безучетного потребления расчетный прибор учета признается вышедшим из строя.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54" w:name="Par1515"/>
      <w:bookmarkEnd w:id="154"/>
      <w:r>
        <w:rPr>
          <w:rFonts w:ascii="Arial" w:hAnsi="Arial" w:cs="Arial"/>
          <w:sz w:val="20"/>
          <w:szCs w:val="20"/>
        </w:rPr>
        <w:t>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180. В случаях отсутствия, неисправности, утраты или истечения интервала между поверками, истечения срока эксплуатации расчетного прибора учета, используемого для определения объема производства электрической энергии (мощности) на розничном рынке, и отсутствия контрольного прибора учета объем производства электрической энергии (мощности) начиная с даты, когда наступили указанные события, определяется в следующем порядке: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для 1-го и последующих часов первого расчетного периода определяется с использованием замещающей информации;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начиная с 1-го дня второго расчетного периода объем производства электрической энергии (мощности) за соответствующий час определяется исходя из значений замещающей информации, увеличенных на коэффициент отношения максимальной мощности и максимального значения объемов производства электрической энергии в какой-либо час за истекший год, определенных на основании имеющихся показаний расчетных приборов учета.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случаях непредставления показаний расчетного прибора учета в установленные сроки, используемого для определения объема производства электрической энергии (мощности) на розничном рынке, и при этом отсутствия контрольного прибора учета объем производства электрической энергии (мощности) начиная с даты, когда наступили указанные события, определяется в следующем порядке: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если расчетный прибор учета установлен в границах объекта по производству электрической энергии (мощности) на розничном рынке и не присоединен к интеллектуальной системе учета электрической энергии (мощности) сетевой организации, то объем производства электрической энергии (мощности), в том числе почасовые объемы производства электрической энергии, считается равным нулю;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 иных случаях объем производства электрической энергии (мощности) за соответствующий час определяется исходя из значений замещающей информации, увеличенных на коэффициент отношения максимальной мощности и максимального значения объемов производства электрической энергии в какой-либо час за истекший год, определенных на основании имеющихся показаний расчетных приборов учета.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55" w:name="Par1522"/>
      <w:bookmarkEnd w:id="155"/>
      <w:r>
        <w:rPr>
          <w:rFonts w:ascii="Arial" w:hAnsi="Arial" w:cs="Arial"/>
          <w:sz w:val="20"/>
          <w:szCs w:val="20"/>
        </w:rPr>
        <w:t>181. При непредставлении показаний расчетного прибора учета, установленного в границах объектов электросетевого хозяйства сетевой организации или включенного в интеллектуальную систему учета электрической энергии (мощности) сетевой организации, 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наступили указанные события, определяется следующим образом: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объем электрической энергии, принятой в объекты электросетевого хозяйства сетевой организации, определяется исходя из максимальных среднесуточных значений за месяц, в котором было зафиксировано наибольшее поступление объема электрической энергии в сеть по соответствующей точке поставки за прошедший год;</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объем электрической энергии, отпущенной из объектов электросетевого хозяйства сетевой организации в объекты электросетевого хозяйства смежных сетевых организаций, определяется по минимальным среднесуточным значениям за месяц, в котором был зафиксирован наименьший отпуск электрической энергии из сети по соответствующей точке поставки за прошедший год.</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неисправности, утраты, истечения срока интервала между поверками расчетного прибора учета, который установлен в границах объектов электросетевого хозяйства сетевой организации и исходя из показаний которого определяются объемы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и отсутствия контрольного прибора учета определение объемов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наступили указанные события, определяется следующим образом: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течение первых 2 расчетных периодов - исходя из показаний расчетного прибора учета за аналогичный расчетный период предыдущего года, а если период работы расчетного прибора учета составил менее одного года - исходя из показаний расчетного прибора учета за предыдущий расчетный период;</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начиная с 3-го расчетного периода вплоть до даты установки и допуска в эксплуатацию расчетного прибора учета - расчетным способом, предусмотренным настоящим пунктом для случая непредставления показаний расчетного прибора учета в установленные сроки при отсутствии контрольного прибора учета.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отсутствии прибора учета в случаях, когда в соответствии с настоящим документом он должен быть установлен в границах объектов электросетевого хозяйства сетевой организации, и при отсутствии контрольного прибора учета объем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электрической энергии определяется вплоть до даты допуска прибора учета в эксплуатацию в порядке, предусмотренном настоящим пунктом для случая непредставления показаний расчетного прибора учета в установленные сроки при отсутствии контрольного прибора учета.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56" w:name="Par1529"/>
      <w:bookmarkEnd w:id="156"/>
      <w:r>
        <w:rPr>
          <w:rFonts w:ascii="Arial" w:hAnsi="Arial" w:cs="Arial"/>
          <w:sz w:val="20"/>
          <w:szCs w:val="20"/>
        </w:rPr>
        <w:t xml:space="preserve">182. В случае двукратного недопуска к расчетному прибору учета, установленному в границах энергопринимающих устройств потребителя, в том числе в отношении точек поставки для лиц, опосредованно присоединенных через объекты такого потребителя электрической энергии, для проведения контрольного снятия показаний и (или) для проведения проверки приборов учета объем потребления и оказанных услуг по передаче электрической энергии с даты 2-го недопуска вплоть до даты допуска к расчетному прибору учета определяется исходя из увеличенных в 1,5 раза значений, определенных на основании контрольного прибора учета, в соответствии с </w:t>
      </w:r>
      <w:hyperlink w:anchor="Par1410" w:history="1">
        <w:r>
          <w:rPr>
            <w:rFonts w:ascii="Arial" w:hAnsi="Arial" w:cs="Arial"/>
            <w:color w:val="0000FF"/>
            <w:sz w:val="20"/>
            <w:szCs w:val="20"/>
          </w:rPr>
          <w:t>пунктом 164</w:t>
        </w:r>
      </w:hyperlink>
      <w:r>
        <w:rPr>
          <w:rFonts w:ascii="Arial" w:hAnsi="Arial" w:cs="Arial"/>
          <w:sz w:val="20"/>
          <w:szCs w:val="20"/>
        </w:rPr>
        <w:t xml:space="preserve"> настоящего документа, а при его отсутствии - исходя из увеличенных в 1,5 раза значений, определенных на основании замещающей информации.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двукратного недопуска к расчетному прибору учета, установленному в границах объектов по производству электрической энергии (мощности) производителя электрической энергии (мощности) на розничном рынке, в том числе в отношении точек поставки иных лиц, опосредованно присоединенных через </w:t>
      </w:r>
      <w:r>
        <w:rPr>
          <w:rFonts w:ascii="Arial" w:hAnsi="Arial" w:cs="Arial"/>
          <w:sz w:val="20"/>
          <w:szCs w:val="20"/>
        </w:rPr>
        <w:lastRenderedPageBreak/>
        <w:t>объекты по производству электрической энергии (мощности), для проведения контрольного снятия показаний и (или) проведения проверки прибора учета при отсутствии контрольного прибора учета объемы производства электрической энергии (мощности), в том числе почасовые объемы производства электрической энергии, начиная с даты второго недопуска вплоть до даты допуска к расчетному прибору учета, считаются равными нулю.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двукратного недопуска к расчетному прибору учета, установленному в границах объектов электросетевого хозяйства сетевой организации,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определяется, начиная с даты второго недопуска вплоть до даты допуска к расчетному прибору учета, следующим образом: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объем электрической энергии, принятой в объекты электросетевого хозяйства сетевой организации, которая не передала показания, определяется исходя из максимальных среднесуточных значений за месяц, в котором было зафиксировано наибольшее поступление в сеть по соответствующей точке поставки за прошедший год;</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объем электрической энергии, отпущенной из объектов электросетевого хозяйства сетевой организации, которая не передала показания, в объекты электросетевого хозяйства смежных сетевых организаций, определяется по минимальным среднесуточным значениям за месяц, в котором был зафиксирован наименьший отпуск из сети по соответствующей точке поставки за прошедший год.</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183. В случае снятия показаний приборов учета за период времени (его часть), в течение которого объем электрической энергии был определен в порядке, предусмотренном </w:t>
      </w:r>
      <w:hyperlink w:anchor="Par1515" w:history="1">
        <w:r>
          <w:rPr>
            <w:rFonts w:ascii="Arial" w:hAnsi="Arial" w:cs="Arial"/>
            <w:color w:val="0000FF"/>
            <w:sz w:val="20"/>
            <w:szCs w:val="20"/>
          </w:rPr>
          <w:t>пунктами 179</w:t>
        </w:r>
      </w:hyperlink>
      <w:r>
        <w:rPr>
          <w:rFonts w:ascii="Arial" w:hAnsi="Arial" w:cs="Arial"/>
          <w:sz w:val="20"/>
          <w:szCs w:val="20"/>
        </w:rPr>
        <w:t xml:space="preserve"> - </w:t>
      </w:r>
      <w:hyperlink w:anchor="Par1522" w:history="1">
        <w:r>
          <w:rPr>
            <w:rFonts w:ascii="Arial" w:hAnsi="Arial" w:cs="Arial"/>
            <w:color w:val="0000FF"/>
            <w:sz w:val="20"/>
            <w:szCs w:val="20"/>
          </w:rPr>
          <w:t>181</w:t>
        </w:r>
      </w:hyperlink>
      <w:r>
        <w:rPr>
          <w:rFonts w:ascii="Arial" w:hAnsi="Arial" w:cs="Arial"/>
          <w:sz w:val="20"/>
          <w:szCs w:val="20"/>
        </w:rPr>
        <w:t xml:space="preserve"> настоящего документа, разница между объемом, определенным по показаниям прибора учета, и объемом, определенным в предусмотренном указанными пунктами порядке, учитывается равномерно по всем часам при определении объема электрической энергии за расчетный период, в котором были сняты соответствующие показания.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184. В случае истечения интервала между поверками измерительного трансформатора, используемого для обеспечения коммерческого учета электрической энергии в составе измерительного комплекса, объем потребления (производства) электрической энергии для расчета за потребленную (произведенную) электрическую энергию (мощность) и оказанные услуги по передаче электрической энергии определяется как объем потребления (производства) электрической энергии, определенный на основании показаний прибора учета, входящего в соответствующий измерительный комплекс.</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Если в соответствии с настоящим документом приобретение, установку, замену и эксплуатацию такого измерительного трансформатора, используемого для обеспечения коммерческого учета электрической энергии в составе измерительного комплекса, осуществляет не сетевая организация или гарантирующий поставщик, то объем потребления (производства) электрической энергии для расчета за потребленную (произведенную) электрическую энергию (мощность) и оказанные услуги по передаче электрической энергии определяется в следующем порядке: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для 1-го и последующих часов первого расчетного периода определяется с использованием замещающей информации;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начиная с 1-го дня второго расчетного периода объем потребления электрической энергии определяется на основании показаний прибора учета, входящего в соответствующий измерительный комплекс, и умножается на коэффициент 1,5, объем произведенной электрической энергии, определяется на основании показаний прибора учета, входящего в соответствующий измерительный комплекс, и умножается на коэффициент 0,5.</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185. В отсутствие приборов учета у потребителей, максимальная мощность энергопринимающих устройств которых в соответствии с документами о технологическом присоединении менее 5 кВт, объем потребления электрической энергии рассчитывается сетевой организацией на основании расчетного способа, определенного в договоре энергоснабжения (купли-продажи (поставки) электрической энергии (мощности) и (или) оказания услуг по передаче электрической энергии), а при отсутствии такого расчетного способа - исходя из характерных для указанных потребителей (энергопринимающих устройств) объемов потребления электрической энергии за определенный период времени, которые определяются исходя из </w:t>
      </w:r>
      <w:r>
        <w:rPr>
          <w:rFonts w:ascii="Arial" w:hAnsi="Arial" w:cs="Arial"/>
          <w:sz w:val="20"/>
          <w:szCs w:val="20"/>
        </w:rPr>
        <w:lastRenderedPageBreak/>
        <w:t>совокупных объемов потребления на основе величины максимальной мощности энергопринимающих устройств потребителя и стандартного количества часов их использования.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186. Расчет объема безучетного потребления или бездоговорного потребления электрической энергии осуществляется сетевой организацией в соответствии с </w:t>
      </w:r>
      <w:hyperlink w:anchor="Par1541" w:history="1">
        <w:r>
          <w:rPr>
            <w:rFonts w:ascii="Arial" w:hAnsi="Arial" w:cs="Arial"/>
            <w:color w:val="0000FF"/>
            <w:sz w:val="20"/>
            <w:szCs w:val="20"/>
          </w:rPr>
          <w:t>пунктом 187</w:t>
        </w:r>
      </w:hyperlink>
      <w:r>
        <w:rPr>
          <w:rFonts w:ascii="Arial" w:hAnsi="Arial" w:cs="Arial"/>
          <w:sz w:val="20"/>
          <w:szCs w:val="20"/>
        </w:rPr>
        <w:t xml:space="preserve"> или </w:t>
      </w:r>
      <w:hyperlink w:anchor="Par1552" w:history="1">
        <w:r>
          <w:rPr>
            <w:rFonts w:ascii="Arial" w:hAnsi="Arial" w:cs="Arial"/>
            <w:color w:val="0000FF"/>
            <w:sz w:val="20"/>
            <w:szCs w:val="20"/>
          </w:rPr>
          <w:t>189</w:t>
        </w:r>
      </w:hyperlink>
      <w:r>
        <w:rPr>
          <w:rFonts w:ascii="Arial" w:hAnsi="Arial" w:cs="Arial"/>
          <w:sz w:val="20"/>
          <w:szCs w:val="20"/>
        </w:rPr>
        <w:t xml:space="preserve"> настоящего документа в течение 2 рабочих дней со дня составления акта о неучтенном потреблении электрической энергии на основании материалов проверки (акта о неучтенном потреблении электрической энергии, акта предыдущей проверки приборов учета), а также на основании документов, представленных потребителем, осуществляющим безучетное потребление (обслуживающим его гарантирующим поставщиком (энергосбытовой, энергоснабжающей организацией), или лицом, осуществляющим бездоговорное потребление электрической энергии. Расчет объема безучетного потребления направляется сетевой организацией гарантирующему поставщику (энергосбытовой, энергоснабжающей организации), обслуживающему потребителя, осуществляющего безучетное потребление, вместе с актом о неучтенном потреблении электрической энергии в срок, установленный </w:t>
      </w:r>
      <w:hyperlink w:anchor="Par1484" w:history="1">
        <w:r>
          <w:rPr>
            <w:rFonts w:ascii="Arial" w:hAnsi="Arial" w:cs="Arial"/>
            <w:color w:val="0000FF"/>
            <w:sz w:val="20"/>
            <w:szCs w:val="20"/>
          </w:rPr>
          <w:t>пунктом 177</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57" w:name="Par1541"/>
      <w:bookmarkEnd w:id="157"/>
      <w:r>
        <w:rPr>
          <w:rFonts w:ascii="Arial" w:hAnsi="Arial" w:cs="Arial"/>
          <w:sz w:val="20"/>
          <w:szCs w:val="20"/>
        </w:rPr>
        <w:t xml:space="preserve">187. Объем безучетного потребления в отношении потребителей электрической энергии (мощности), за исключением населения и приравненных к нему категорий потребителей, определяется с применением расчетного способа, предусмотренного </w:t>
      </w:r>
      <w:hyperlink w:anchor="Par3590" w:history="1">
        <w:r>
          <w:rPr>
            <w:rFonts w:ascii="Arial" w:hAnsi="Arial" w:cs="Arial"/>
            <w:color w:val="0000FF"/>
            <w:sz w:val="20"/>
            <w:szCs w:val="20"/>
          </w:rPr>
          <w:t>подпунктом "а" пункта 1</w:t>
        </w:r>
      </w:hyperlink>
      <w:r>
        <w:rPr>
          <w:rFonts w:ascii="Arial" w:hAnsi="Arial" w:cs="Arial"/>
          <w:sz w:val="20"/>
          <w:szCs w:val="20"/>
        </w:rPr>
        <w:t xml:space="preserve"> приложения N 3 к настоящему документу.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Объем безучетного потребления в отношении приравненных к населению категорий потребителей определяется исходя из объема, рассчитанного на основании показаний расчетного прибора учета за аналогичный расчетный период предыдущего года с применением повышающего коэффициента 10, а при отсутствии указанных показаний - на основании показаний расчетного прибора учета за ближайший расчетный период, когда такие показания были представлены, с применением повышающего коэффициента 10.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Объем безучетного потребления в отношении населения определяется в порядке, предусмотренном </w:t>
      </w:r>
      <w:hyperlink r:id="rId542" w:history="1">
        <w:r>
          <w:rPr>
            <w:rFonts w:ascii="Arial" w:hAnsi="Arial" w:cs="Arial"/>
            <w:color w:val="0000FF"/>
            <w:sz w:val="20"/>
            <w:szCs w:val="20"/>
          </w:rPr>
          <w:t>Правилами</w:t>
        </w:r>
      </w:hyperlink>
      <w:r>
        <w:rPr>
          <w:rFonts w:ascii="Arial" w:hAnsi="Arial" w:cs="Arial"/>
          <w:sz w:val="20"/>
          <w:szCs w:val="20"/>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этом в отношении потребителя, при осуществлении расчетов за электрическую энергию с которым используется ставка за мощность, помимо объема безучетного потребления также определяется величина мощности, приобретаемой по договору, обеспечивающему продажу электрической энергии (мощности), и величина мощности, оплачиваемой в части услуг по передаче электрической энергии, исходя из почасовых объемов потребления электрической энергии, определяемых в соответствии с </w:t>
      </w:r>
      <w:hyperlink w:anchor="Par3615" w:history="1">
        <w:r>
          <w:rPr>
            <w:rFonts w:ascii="Arial" w:hAnsi="Arial" w:cs="Arial"/>
            <w:color w:val="0000FF"/>
            <w:sz w:val="20"/>
            <w:szCs w:val="20"/>
          </w:rPr>
          <w:t>подпунктом "б" пункта 1</w:t>
        </w:r>
      </w:hyperlink>
      <w:r>
        <w:rPr>
          <w:rFonts w:ascii="Arial" w:hAnsi="Arial" w:cs="Arial"/>
          <w:sz w:val="20"/>
          <w:szCs w:val="20"/>
        </w:rPr>
        <w:t xml:space="preserve"> приложения N 3 к настоящему документу.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Объем безучетного потребления определяется с даты предыдущей проверки прибора учета (в случае если такая проверка не была проведена в запланированные сроки, - определяется с даты, не позднее которой она должна была быть проведена в соответствии с настоящим документом) до даты выявления факта безучетного потребления и составления акта о неучтенном потреблении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Стоимость электрической энергии в определенном в соответствии с настоящим пунктом объеме безучетного потребления включается гарантирующим поставщиком (энергосбытовой, энергоснабжающей организацией) в выставляемый потребителю (покупателю) счет на оплату стоимости электрической энергии (мощности), приобретенной по договору, обеспечивающему продажу электрической энергии (мощности), за тот расчетный период, в котором был выявлен факт безучетного потребления и составлен акт о неучтенном потреблении электрической энергии. Указанный счет также должен содержать расчет объема и стоимости безучетного потребления. Потребитель (покупатель) обязан оплатить указанный счет в срок, определенный в договоре, обеспечивающем продажу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 даты составления акта о неучтенном потреблении электрической энергии до даты замены прибора учета объем потребления электрической энергии (мощности) определяется в порядке, предусмотренном требованиями </w:t>
      </w:r>
      <w:hyperlink w:anchor="Par1515" w:history="1">
        <w:r>
          <w:rPr>
            <w:rFonts w:ascii="Arial" w:hAnsi="Arial" w:cs="Arial"/>
            <w:color w:val="0000FF"/>
            <w:sz w:val="20"/>
            <w:szCs w:val="20"/>
          </w:rPr>
          <w:t>пункта 179</w:t>
        </w:r>
      </w:hyperlink>
      <w:r>
        <w:rPr>
          <w:rFonts w:ascii="Arial" w:hAnsi="Arial" w:cs="Arial"/>
          <w:sz w:val="20"/>
          <w:szCs w:val="20"/>
        </w:rPr>
        <w:t xml:space="preserve"> настоящего документа к расчету объемов потребления электрической энергии (мощности) для случая непредоставления показаний прибора учета.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188. В случае если в результате проверки прибора учета, эксплуатацию которого в соответствии с настоящим документом осуществляет сетевая организация (гарантирующий поставщик), сделано заключение о непригодности расчетного прибора учета для осуществления расчетов за потребленную на </w:t>
      </w:r>
      <w:r>
        <w:rPr>
          <w:rFonts w:ascii="Arial" w:hAnsi="Arial" w:cs="Arial"/>
          <w:sz w:val="20"/>
          <w:szCs w:val="20"/>
        </w:rPr>
        <w:lastRenderedPageBreak/>
        <w:t>розничных рынках электрическую энергию (мощность) и оказанные услуги по передаче электрической энергии, о несоответствии расчетного прибора учета требованиям, предъявляемым к такому прибору учета, и при этом не был установлен факт безучетного потребления, в отношении соответствующей точки поставки должен быть сделан перерасчет за потребленную на розничных рынках электрическую энергию (мощность) и оказанные услуги по передаче электрической энергии с даты предыдущей проверки прибора учета (в случае если такая проверка не была проведена в запланированные сроки, то определяется с даты, не позднее которой она должна быть проведена в соответствии с настоящим документом) до даты составления акта проверки.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Если указанное заключение было сделано в отношении прибора учета, присоединенного к интеллектуальной системе учета электрической энергии (мощности), перерасчет осуществляется за последние 3 расчетных периода.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Перерасчет за потребленную на розничных рынках электрическую энергию (мощность) и оказанные услуги по передаче электрической энергии осуществляется в соответствии с расчетными способами, предусмотренными </w:t>
      </w:r>
      <w:hyperlink w:anchor="Par1515" w:history="1">
        <w:r>
          <w:rPr>
            <w:rFonts w:ascii="Arial" w:hAnsi="Arial" w:cs="Arial"/>
            <w:color w:val="0000FF"/>
            <w:sz w:val="20"/>
            <w:szCs w:val="20"/>
          </w:rPr>
          <w:t>пунктами 179</w:t>
        </w:r>
      </w:hyperlink>
      <w:r>
        <w:rPr>
          <w:rFonts w:ascii="Arial" w:hAnsi="Arial" w:cs="Arial"/>
          <w:sz w:val="20"/>
          <w:szCs w:val="20"/>
        </w:rPr>
        <w:t xml:space="preserve"> - </w:t>
      </w:r>
      <w:hyperlink w:anchor="Par1522" w:history="1">
        <w:r>
          <w:rPr>
            <w:rFonts w:ascii="Arial" w:hAnsi="Arial" w:cs="Arial"/>
            <w:color w:val="0000FF"/>
            <w:sz w:val="20"/>
            <w:szCs w:val="20"/>
          </w:rPr>
          <w:t>181</w:t>
        </w:r>
      </w:hyperlink>
      <w:r>
        <w:rPr>
          <w:rFonts w:ascii="Arial" w:hAnsi="Arial" w:cs="Arial"/>
          <w:sz w:val="20"/>
          <w:szCs w:val="20"/>
        </w:rPr>
        <w:t xml:space="preserve"> настоящего документа для случая непредставления показаний расчетного прибора учета в установленные сроки и при отсутствии контрольного прибора учета, а также учитывается сетевой организацией по договору на оказание услуг по передаче электрической энергии в отношении соответствующей точки поставки и гарантирующим поставщиком (энергосбытовой, энергоснабжающей организацией) по договору энергоснабжения (купли-продажи (поставки) электрической энергии) в том расчетном периоде, в котором была проведена проверка прибора учета и выявлен факт, свидетельствующий о необходимости указанного перерасчета. Счет на оплату услуг по передаче электрической энергии и счет на оплату поставленной электрической энергии также должны содержать расчет объема и стоимости перерасчета за потребленную на розничных рынках электрическую энергию (мощность) и оказанные услуги по передаче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если в результате перерасчета стоимости поставленной электрической энергии (мощности) и оказанных услуг по передаче электрической энергии она должна быть уменьшена на величину, превышающую стоимость фактически потребленной в соответствующем расчетном периоде электрической энергии (мощности) и оказанных услуг по передаче электрической энергии, такое превышение учитывается в следующих расчетных периодах.</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58" w:name="Par1552"/>
      <w:bookmarkEnd w:id="158"/>
      <w:r>
        <w:rPr>
          <w:rFonts w:ascii="Arial" w:hAnsi="Arial" w:cs="Arial"/>
          <w:sz w:val="20"/>
          <w:szCs w:val="20"/>
        </w:rPr>
        <w:t xml:space="preserve">189. Объем бездоговорного потребления электрической энергии определяется расчетным способом, предусмотренным </w:t>
      </w:r>
      <w:hyperlink w:anchor="Par3621" w:history="1">
        <w:r>
          <w:rPr>
            <w:rFonts w:ascii="Arial" w:hAnsi="Arial" w:cs="Arial"/>
            <w:color w:val="0000FF"/>
            <w:sz w:val="20"/>
            <w:szCs w:val="20"/>
          </w:rPr>
          <w:t>пунктом 2</w:t>
        </w:r>
      </w:hyperlink>
      <w:r>
        <w:rPr>
          <w:rFonts w:ascii="Arial" w:hAnsi="Arial" w:cs="Arial"/>
          <w:sz w:val="20"/>
          <w:szCs w:val="20"/>
        </w:rPr>
        <w:t xml:space="preserve"> приложения N 3 к настоящему документу, за период времени, в течение которого осуществлялось бездоговорное потребление электрической энергии, но не более чем за один год. При этом: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период времени, в течение которого осуществлялось бездоговорное потребление электрической энергии в виде самовольного подключения энергопринимающих устройств к объектам электросетевого хозяйства, определяется с даты предыдущей контрольной проверки технического состояния объектов электросетевого хозяйства в месте, где позже был выявлен факт бездоговорного потребления электрической энергии, до даты выявления факта бездоговорного потребления электрической энергии и составления акта о неучтенном потреблении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период времени, в течение которого осуществлялось бездоговорное потребление электрической энергии в период введенного полного ограничения потребления электрической энергии, определяется с даты предыдущей проверки введенного ограничения режима потребления электрической энергии или с даты составления предыдущего акта о неучтенном потреблении (в зависимости от того, какая из них наступила позднее) до даты выявления факта бездоговорного потребления электрической энергии и составления акта о неучтенном потреблении электрической энергии. Если проверка введенного ограничения ранее не проводилась и составление акта о неучтенном потреблении не осуществлялось, период времени, в течение которого осуществлялось бездоговорное потребление электрической энергии в период введенного полного ограничения потребления электрической энергии, определяется с даты введения полного ограничения режима потребления электрической энергии, указанной в направленном инициатором ограничения режима потребления исполнителю (субисполнителю) уведомлении о необходимости введения ограничения режима потребления (даты, следующей за датой получения (субисполнителем) от потребителя уведомления о готовности к введению полного ограничения режима потребления), до даты выявления факта бездоговорного потребления электрической энергии и составления акта о неучтенном потреблении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Стоимость электрической энергии в определенном в соответствии с настоящим пунктом объеме бездоговорного потребления электрической энергии определяется исходя из цен (тарифов), указанных в </w:t>
      </w:r>
      <w:hyperlink w:anchor="Par667" w:history="1">
        <w:r>
          <w:rPr>
            <w:rFonts w:ascii="Arial" w:hAnsi="Arial" w:cs="Arial"/>
            <w:color w:val="0000FF"/>
            <w:sz w:val="20"/>
            <w:szCs w:val="20"/>
          </w:rPr>
          <w:t>разделе IV</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Сетевая организация оформляет счет для оплаты стоимости электрической энергии в объеме бездоговорного потребления электрической энергии, который должен содержать расчет стоимости бездоговорного потребления электрической энергии, и направляет его лицу, осуществившему бездоговорное потребление электрической энергии, способом, позволяющим подтвердить факт его получения, вместе с актом о неучтенном потреблении электрической энергии в срок, установленный </w:t>
      </w:r>
      <w:hyperlink w:anchor="Par1484" w:history="1">
        <w:r>
          <w:rPr>
            <w:rFonts w:ascii="Arial" w:hAnsi="Arial" w:cs="Arial"/>
            <w:color w:val="0000FF"/>
            <w:sz w:val="20"/>
            <w:szCs w:val="20"/>
          </w:rPr>
          <w:t>пунктом 177</w:t>
        </w:r>
      </w:hyperlink>
      <w:r>
        <w:rPr>
          <w:rFonts w:ascii="Arial" w:hAnsi="Arial" w:cs="Arial"/>
          <w:sz w:val="20"/>
          <w:szCs w:val="20"/>
        </w:rPr>
        <w:t xml:space="preserve"> настоящего документа, или в течение 2 рабочих дней со дня определения в порядке, установленном настоящим документом, цены бездоговорного потребления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Лицо, осуществившее бездоговорное потребление электрической энергии, обязано оплатить стоимость электрической энергии в объеме бездоговорного потребления электрической энергии по счету в течение 10 дней со дня получения счета.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отказе лица, осуществившего бездоговорное потребление электрической энергии, от оплаты указанного счета стоимость электрической энергии в объеме бездоговорного потребления электрической энергии взыскивается с такого лица сетевой организацией в порядке взыскания неосновательного обогащения на основании акта о неучтенном потреблении электрической энергии и счета для оплаты стоимости электрической энергии в объеме бездоговорного потребления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Иной владелец объектов электросетевого хозяйства, к которым непосредственно присоединены энергопринимающие устройства (объекты электросетевого хозяйства) лица, осуществляющего бездоговорное потребление электрической энергии, при выявлении бездоговорного потребления электрической энергии составляет акт о неучтенном потреблении электрической энергии и осуществляет расчет и взыскание стоимости бездоговорного потребления электрической энергии в порядке, аналогичном порядку, установленному настоящим документом для сетевой организации.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59" w:name="Par1560"/>
      <w:bookmarkEnd w:id="159"/>
      <w:r>
        <w:rPr>
          <w:rFonts w:ascii="Arial" w:hAnsi="Arial" w:cs="Arial"/>
          <w:sz w:val="20"/>
          <w:szCs w:val="20"/>
        </w:rPr>
        <w:t>190. На основании определенных в соответствии с настоящим разделом объемов потребления (производства) электрической энергии (мощности) сетевые организации определяют: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объем электрической энергии, переданной в принадлежащие им объекты электросетевого хозяйства;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объем электрической энергии, переданной из принадлежащих им объектов электросетевого хозяйства в объекты электросетевого хозяйства смежных сетевых организаций;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объем электрической энергии, которая поставлена по договорам энергоснабжения (купли-продажи (поставки) электрической энергии (мощности) и потреблена энергопринимающими устройствами, присоединенными к объектам электросетевого хозяйства этих сетевых организаций;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фактические потери электрической энергии в объектах электросетевого хозяйства этих сетевых организаций.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191. Каждая сетевая организация за расчетный период составляет баланс электрической энергии, который содержит показатели, указанные в </w:t>
      </w:r>
      <w:hyperlink w:anchor="Par1560" w:history="1">
        <w:r>
          <w:rPr>
            <w:rFonts w:ascii="Arial" w:hAnsi="Arial" w:cs="Arial"/>
            <w:color w:val="0000FF"/>
            <w:sz w:val="20"/>
            <w:szCs w:val="20"/>
          </w:rPr>
          <w:t>пункте 190</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192. Баланс электрической энергии составляется ежемесячно, до 10-го числа месяца, следующего за расчетным периодом, и является основанием для определения фактических потерь электрической энергии, подлежащих покупке сетевой организацией в соответствии с настоящим документом.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193. Объем электрической энергии (мощности), подлежащей покупке соответствующей сетевой организацией для целей компенсации потерь электрической энергии, уменьшается на выявленный и рассчитанный в соответствии с настоящим документом объем безучетного потребления в том расчетном периоде, в котором были составлены акты о неучтенном потреблении электрической энергии, при этом объем услуг по передаче электрической энергии, оказанных сетевой организацией, к объектам электросетевого хозяйства которой присоединены энергопринимающие устройства, в отношении которых был выявлен факт безучетного потребления, увеличивается в том же расчетном периоде на выявленный и рассчитанный в соответствии с настоящим документом объем безучетного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Объем оказанных услуг по передаче электрической энергии в размере его увеличения в связи с выявленным безучетным потреблением подлежит оплате лицом, заключившим с сетевой организацией </w:t>
      </w:r>
      <w:r>
        <w:rPr>
          <w:rFonts w:ascii="Arial" w:hAnsi="Arial" w:cs="Arial"/>
          <w:sz w:val="20"/>
          <w:szCs w:val="20"/>
        </w:rPr>
        <w:lastRenderedPageBreak/>
        <w:t>договор оказания услуг по передаче электрической энергии в отношении точки поставки, в которой было выявлено безучетное потребление.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если объем безучетного потребления превышает объем электрической энергии (мощности), приобретаемой сетевой организацией в расчетном периоде для целей компенсации потерь, его превышение учитывается в последующих расчетных периодах.</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194. Сетевая организация передает до 10-го числа месяца, следующего за расчетным периодом, соответствующему гарантирующему поставщику (энергосбытовой, энергоснабжающей организации, указанной в </w:t>
      </w:r>
      <w:hyperlink w:anchor="Par553" w:history="1">
        <w:r>
          <w:rPr>
            <w:rFonts w:ascii="Arial" w:hAnsi="Arial" w:cs="Arial"/>
            <w:color w:val="0000FF"/>
            <w:sz w:val="20"/>
            <w:szCs w:val="20"/>
          </w:rPr>
          <w:t>пункте 58</w:t>
        </w:r>
      </w:hyperlink>
      <w:r>
        <w:rPr>
          <w:rFonts w:ascii="Arial" w:hAnsi="Arial" w:cs="Arial"/>
          <w:sz w:val="20"/>
          <w:szCs w:val="20"/>
        </w:rPr>
        <w:t xml:space="preserve"> настоящего документа) способом, позволяющим подтвердить факт получения, в письменном виде либо в электронном виде, заверенном электронной цифровой подписью, информацию об объеме потребления электрической энергии, объеме оказанных услуг по передаче электрической энергии, объеме безучетного потребления электрической энергии, объеме электрической энергии (мощности), подлежащей покупке сетевой организацией в целях компенсации фактических потерь электрической энергии, за текущий расчетный период.</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если сетевая организация, приобретающая электрическую энергию (мощность) для целей компенсации потерь у гарантирующего поставщика (энергосбытовой, энергоснабжающей организации, указанной в </w:t>
      </w:r>
      <w:hyperlink w:anchor="Par553" w:history="1">
        <w:r>
          <w:rPr>
            <w:rFonts w:ascii="Arial" w:hAnsi="Arial" w:cs="Arial"/>
            <w:color w:val="0000FF"/>
            <w:sz w:val="20"/>
            <w:szCs w:val="20"/>
          </w:rPr>
          <w:t>пункте 58</w:t>
        </w:r>
      </w:hyperlink>
      <w:r>
        <w:rPr>
          <w:rFonts w:ascii="Arial" w:hAnsi="Arial" w:cs="Arial"/>
          <w:sz w:val="20"/>
          <w:szCs w:val="20"/>
        </w:rPr>
        <w:t xml:space="preserve"> настоящего документа), не представила указанную информацию, такой гарантирующий поставщик (энергосбытовая, энергоснабжающая организация) определяет фактические потери в объектах электросетевого хозяйства такой сетевой организации в соответствии с </w:t>
      </w:r>
      <w:hyperlink w:anchor="Par1572" w:history="1">
        <w:r>
          <w:rPr>
            <w:rFonts w:ascii="Arial" w:hAnsi="Arial" w:cs="Arial"/>
            <w:color w:val="0000FF"/>
            <w:sz w:val="20"/>
            <w:szCs w:val="20"/>
          </w:rPr>
          <w:t>пунктом 195</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60" w:name="Par1572"/>
      <w:bookmarkEnd w:id="160"/>
      <w:r>
        <w:rPr>
          <w:rFonts w:ascii="Arial" w:hAnsi="Arial" w:cs="Arial"/>
          <w:sz w:val="20"/>
          <w:szCs w:val="20"/>
        </w:rPr>
        <w:t xml:space="preserve">195. Гарантирующий поставщик (энергосбытовая, энергоснабжающая организация, указанная в </w:t>
      </w:r>
      <w:hyperlink w:anchor="Par553" w:history="1">
        <w:r>
          <w:rPr>
            <w:rFonts w:ascii="Arial" w:hAnsi="Arial" w:cs="Arial"/>
            <w:color w:val="0000FF"/>
            <w:sz w:val="20"/>
            <w:szCs w:val="20"/>
          </w:rPr>
          <w:t>пункте 58</w:t>
        </w:r>
      </w:hyperlink>
      <w:r>
        <w:rPr>
          <w:rFonts w:ascii="Arial" w:hAnsi="Arial" w:cs="Arial"/>
          <w:sz w:val="20"/>
          <w:szCs w:val="20"/>
        </w:rPr>
        <w:t xml:space="preserve">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энергии, приобретенной таким гарантирующим поставщиком (энергосбытовой, энергоснабжающей организацией), и объемом электрической энергии, поставленной таким гарантирующим поставщиком (энергосбытовой, энергоснабжающей организацией) потребителям на розничном рынке и сетевым организациям, предоставившим сведения о фактических потерях электрической энергии в принадлежащих им объектах электросетевого хозяйства, рассчитанным по данным такого гарантирующего поставщика (энергосбытовой, энергоснабжающей организации), пропорционально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не представившей сведения о фактических потерях электрической энергии в принадлежащих ей объектах электросетевого хозяйства,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всех сетевых организаций, приобретающих электрическую энергию (мощность) для компенсации потерь у такого гарантирующего поставщика (энергосбытовой, энергоснабжающей организации) и не представивших сведения о фактических потерях электрической энергии в принадлежащих им объектах электросетевого хозяйства.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если для сетевой организации, указанной в </w:t>
      </w:r>
      <w:hyperlink w:anchor="Par1572" w:history="1">
        <w:r>
          <w:rPr>
            <w:rFonts w:ascii="Arial" w:hAnsi="Arial" w:cs="Arial"/>
            <w:color w:val="0000FF"/>
            <w:sz w:val="20"/>
            <w:szCs w:val="20"/>
          </w:rPr>
          <w:t>абзаце первом</w:t>
        </w:r>
      </w:hyperlink>
      <w:r>
        <w:rPr>
          <w:rFonts w:ascii="Arial" w:hAnsi="Arial" w:cs="Arial"/>
          <w:sz w:val="20"/>
          <w:szCs w:val="20"/>
        </w:rPr>
        <w:t xml:space="preserve"> настоящего пункта, отсутствуют данные об объеме потерь электрической энергии при ее передаче по электрическим сетям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гарантирующий поставщик (энергосбытовая, энергоснабжающая организация, указанная в </w:t>
      </w:r>
      <w:hyperlink w:anchor="Par553" w:history="1">
        <w:r>
          <w:rPr>
            <w:rFonts w:ascii="Arial" w:hAnsi="Arial" w:cs="Arial"/>
            <w:color w:val="0000FF"/>
            <w:sz w:val="20"/>
            <w:szCs w:val="20"/>
          </w:rPr>
          <w:t>пункте 58</w:t>
        </w:r>
      </w:hyperlink>
      <w:r>
        <w:rPr>
          <w:rFonts w:ascii="Arial" w:hAnsi="Arial" w:cs="Arial"/>
          <w:sz w:val="20"/>
          <w:szCs w:val="20"/>
        </w:rPr>
        <w:t xml:space="preserve"> настоящего документа) при распределении объема электрической энергии, определенного в соответствии с </w:t>
      </w:r>
      <w:hyperlink w:anchor="Par1572" w:history="1">
        <w:r>
          <w:rPr>
            <w:rFonts w:ascii="Arial" w:hAnsi="Arial" w:cs="Arial"/>
            <w:color w:val="0000FF"/>
            <w:sz w:val="20"/>
            <w:szCs w:val="20"/>
          </w:rPr>
          <w:t>абзацем первым</w:t>
        </w:r>
      </w:hyperlink>
      <w:r>
        <w:rPr>
          <w:rFonts w:ascii="Arial" w:hAnsi="Arial" w:cs="Arial"/>
          <w:sz w:val="20"/>
          <w:szCs w:val="20"/>
        </w:rPr>
        <w:t xml:space="preserve"> настоящего пункта, применяет для такой сетевой организации данные о среднемесячном объеме потерь электрической энергии, учтенном органом исполнительной власти субъекта Российской Федерации в области государственного регулирования тарифов при установлении тарифов на услуги по передаче электрической энергии такой сетевой организации на соответствующий период регулирования. В целях применения указанного положения гарантирующий поставщик (энергосбытовая, энергоснабжающая организация, указанная в </w:t>
      </w:r>
      <w:hyperlink w:anchor="Par553" w:history="1">
        <w:r>
          <w:rPr>
            <w:rFonts w:ascii="Arial" w:hAnsi="Arial" w:cs="Arial"/>
            <w:color w:val="0000FF"/>
            <w:sz w:val="20"/>
            <w:szCs w:val="20"/>
          </w:rPr>
          <w:t>пункте 58</w:t>
        </w:r>
      </w:hyperlink>
      <w:r>
        <w:rPr>
          <w:rFonts w:ascii="Arial" w:hAnsi="Arial" w:cs="Arial"/>
          <w:sz w:val="20"/>
          <w:szCs w:val="20"/>
        </w:rPr>
        <w:t xml:space="preserve"> настоящего документа) вправе обратиться с письменным запросом в орган исполнительной власти субъекта Российской Федерации в области государственного регулирования тарифов для получения информации об объеме потерь </w:t>
      </w:r>
      <w:r>
        <w:rPr>
          <w:rFonts w:ascii="Arial" w:hAnsi="Arial" w:cs="Arial"/>
          <w:sz w:val="20"/>
          <w:szCs w:val="20"/>
        </w:rPr>
        <w:lastRenderedPageBreak/>
        <w:t xml:space="preserve">электрической энергии (с распределением по каждому расчетному периоду в кВт·ч), учтенном органом исполнительной власти субъекта Российской Федерации в области государственного регулирования тарифов при установлении тарифов на услуги по передаче электрической энергии сетевой организации, указанной в </w:t>
      </w:r>
      <w:hyperlink w:anchor="Par1572" w:history="1">
        <w:r>
          <w:rPr>
            <w:rFonts w:ascii="Arial" w:hAnsi="Arial" w:cs="Arial"/>
            <w:color w:val="0000FF"/>
            <w:sz w:val="20"/>
            <w:szCs w:val="20"/>
          </w:rPr>
          <w:t>абзаце первом</w:t>
        </w:r>
      </w:hyperlink>
      <w:r>
        <w:rPr>
          <w:rFonts w:ascii="Arial" w:hAnsi="Arial" w:cs="Arial"/>
          <w:sz w:val="20"/>
          <w:szCs w:val="20"/>
        </w:rPr>
        <w:t xml:space="preserve"> настоящего пункта, в соответствующем периоде регулирования. Орган исполнительной власти субъекта Российской Федерации в области государственного регулирования тарифов обязан в течение 4 рабочих дней со дня получения такого запроса направить письменный ответ с приложением запрашиваемых сведений.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если по данным, полученным от всех сетевых организаций, приобретающих электрическую энергию (мощность) для целей компенсации потерь у гарантирующего поставщика (энергосбытовой, энергоснабжающей организации, указанной в </w:t>
      </w:r>
      <w:hyperlink w:anchor="Par553" w:history="1">
        <w:r>
          <w:rPr>
            <w:rFonts w:ascii="Arial" w:hAnsi="Arial" w:cs="Arial"/>
            <w:color w:val="0000FF"/>
            <w:sz w:val="20"/>
            <w:szCs w:val="20"/>
          </w:rPr>
          <w:t>пункте 58</w:t>
        </w:r>
      </w:hyperlink>
      <w:r>
        <w:rPr>
          <w:rFonts w:ascii="Arial" w:hAnsi="Arial" w:cs="Arial"/>
          <w:sz w:val="20"/>
          <w:szCs w:val="20"/>
        </w:rPr>
        <w:t xml:space="preserve"> настоящего документа), суммарная величина фактических потерь электрической энергии в принадлежащих им объектах электросетевого хозяйства отличается от объема электрической энергии, приобретенной гарантирующим поставщиком (энергосбытовой, энергоснабжающей организацией, указанной в </w:t>
      </w:r>
      <w:hyperlink w:anchor="Par553" w:history="1">
        <w:r>
          <w:rPr>
            <w:rFonts w:ascii="Arial" w:hAnsi="Arial" w:cs="Arial"/>
            <w:color w:val="0000FF"/>
            <w:sz w:val="20"/>
            <w:szCs w:val="20"/>
          </w:rPr>
          <w:t>пункте 58</w:t>
        </w:r>
      </w:hyperlink>
      <w:r>
        <w:rPr>
          <w:rFonts w:ascii="Arial" w:hAnsi="Arial" w:cs="Arial"/>
          <w:sz w:val="20"/>
          <w:szCs w:val="20"/>
        </w:rPr>
        <w:t xml:space="preserve"> настоящего документа) на оптовом и розничном рынках, уменьшенного на объем электрической энергии, поставленной иным его потребителям (покупателям), рассчитанный таким гарантирующим поставщиком (энергосбытовой, энергоснабжающей организацией), объем образовавшейся разницы распределяется между сетевыми организациями, которые оказывают услуги по передаче электрической энергии в соответствующем расчетном периоде и объемы потерь электрической энергии при ее передаче по электрическим сетям которых учтены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и учитывается при определении объема электрической энергии (мощности), подлежащей приобретению для компенсации потерь указанными сетевыми организациями, следующим образом: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если суммарная величина фактических потерь электрической энергии в объектах электросетевого хозяйства по данным сетевых организаций больше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уменьшается на часть объема образовавшейся разницы, пропорциональную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если суммарная величина фактических потерь электрической энергии в объектах электросетевого хозяйства по данным сетевых организаций меньше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увеличивается на часть объема образовавшейся разницы, пропорциональную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если сетевая организация приобретает потери электрической энергии у нескольких гарантирующих поставщиков (энергосбытовых, энергоснабжающих организаций, указанных в </w:t>
      </w:r>
      <w:hyperlink w:anchor="Par553" w:history="1">
        <w:r>
          <w:rPr>
            <w:rFonts w:ascii="Arial" w:hAnsi="Arial" w:cs="Arial"/>
            <w:color w:val="0000FF"/>
            <w:sz w:val="20"/>
            <w:szCs w:val="20"/>
          </w:rPr>
          <w:t>пункте 58</w:t>
        </w:r>
      </w:hyperlink>
      <w:r>
        <w:rPr>
          <w:rFonts w:ascii="Arial" w:hAnsi="Arial" w:cs="Arial"/>
          <w:sz w:val="20"/>
          <w:szCs w:val="20"/>
        </w:rPr>
        <w:t xml:space="preserve"> настоящего документа) для целей применения настоящего пункта под объемом потерь электрической энергии при ее передаче по электрическим сетям, учтенным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указанной сетевой организации понимается объем потерь электрической энергии указанной сетевой организации, учтенный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(с распределением по таким гарантирующим поставщикам (энергосбытовым, энергоснабжающим организациям), осуществляемом органом исполнительной власти субъекта Российской Федерации в области государственного регулирования тарифов в соответствии с положениями настоящего пункта).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По запросу гарантирующего поставщика (энергосбытовой, энергоснабжающей организации, указанной в </w:t>
      </w:r>
      <w:hyperlink w:anchor="Par553" w:history="1">
        <w:r>
          <w:rPr>
            <w:rFonts w:ascii="Arial" w:hAnsi="Arial" w:cs="Arial"/>
            <w:color w:val="0000FF"/>
            <w:sz w:val="20"/>
            <w:szCs w:val="20"/>
          </w:rPr>
          <w:t>пункте 58</w:t>
        </w:r>
      </w:hyperlink>
      <w:r>
        <w:rPr>
          <w:rFonts w:ascii="Arial" w:hAnsi="Arial" w:cs="Arial"/>
          <w:sz w:val="20"/>
          <w:szCs w:val="20"/>
        </w:rPr>
        <w:t xml:space="preserve"> настоящего документа) органы исполнительной власти субъектов Российской Федерации в области государственного регулирования тарифов представляют ему выписку из утвержденного сводного прогнозного баланса производства и поставок электрической энергии (мощности) в рамках Единой энергетической системы России по субъектам Российской Федерации, в том числе с учетом внесенных изменений, содержащую данные об объеме потерь электрической энергии в отношении каждой сетевой организации (с распределением по каждому расчетному периоду), приобретающей электрическую энергию (мощность) для компенсации потерь у такого гарантирующего поставщика (энергосбытовой, энергоснабжающей организации). Если при этом приобретение потерь электрической энергии сетевой организацией осуществляется у нескольких гарантирующих поставщиков (энергосбытовых, энергоснабжающих организаций, указанных в </w:t>
      </w:r>
      <w:hyperlink w:anchor="Par553" w:history="1">
        <w:r>
          <w:rPr>
            <w:rFonts w:ascii="Arial" w:hAnsi="Arial" w:cs="Arial"/>
            <w:color w:val="0000FF"/>
            <w:sz w:val="20"/>
            <w:szCs w:val="20"/>
          </w:rPr>
          <w:t>пункте 58</w:t>
        </w:r>
      </w:hyperlink>
      <w:r>
        <w:rPr>
          <w:rFonts w:ascii="Arial" w:hAnsi="Arial" w:cs="Arial"/>
          <w:sz w:val="20"/>
          <w:szCs w:val="20"/>
        </w:rPr>
        <w:t xml:space="preserve"> настоящего документа), орган исполнительной власти субъекта Российской Федерации в области государственного регулирования тарифов помимо выписки представляет данные об объемах потерь электрической энергии указанной сетевой организации, учтенных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 (с распределением по каждому расчетному периоду в кВт·ч по указанным гарантирующим поставщикам (энергосбытовым, энергоснабжающим организациям). Орган исполнительной власти субъекта Российской Федерации в области государственного регулирования тарифов обязан в течение 4 рабочих дней со дня получения такого запроса направить письменный ответ с приложением запрашиваемых сведений.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обращении сетевой организации, на которую распределяется объем электрической энергии, определенный в соответствии с положениями настоящего пункта, к гарантирующему поставщику (энергосбытовой, энергоснабжающей организации, указанной в </w:t>
      </w:r>
      <w:hyperlink w:anchor="Par553" w:history="1">
        <w:r>
          <w:rPr>
            <w:rFonts w:ascii="Arial" w:hAnsi="Arial" w:cs="Arial"/>
            <w:color w:val="0000FF"/>
            <w:sz w:val="20"/>
            <w:szCs w:val="20"/>
          </w:rPr>
          <w:t>пункте 58</w:t>
        </w:r>
      </w:hyperlink>
      <w:r>
        <w:rPr>
          <w:rFonts w:ascii="Arial" w:hAnsi="Arial" w:cs="Arial"/>
          <w:sz w:val="20"/>
          <w:szCs w:val="20"/>
        </w:rPr>
        <w:t xml:space="preserve"> настоящего документа) с письменным запросом о представлении расчета объемов электрической энергии, указанных в настоящем пункте, гарантирующий поставщик (энергосбытовая, энергоснабжающая организация) обязан представить расчет объемов электрической энергии, указанных в настоящем пункте, в течение 4 рабочих дней со дня получения соответствующего запроса.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196. При переходе на обслуживание к гарантирующему поставщику в случае, указанном в </w:t>
      </w:r>
      <w:hyperlink w:anchor="Par553" w:history="1">
        <w:r>
          <w:rPr>
            <w:rFonts w:ascii="Arial" w:hAnsi="Arial" w:cs="Arial"/>
            <w:color w:val="0000FF"/>
            <w:sz w:val="20"/>
            <w:szCs w:val="20"/>
          </w:rPr>
          <w:t>пункте 58</w:t>
        </w:r>
      </w:hyperlink>
      <w:r>
        <w:rPr>
          <w:rFonts w:ascii="Arial" w:hAnsi="Arial" w:cs="Arial"/>
          <w:sz w:val="20"/>
          <w:szCs w:val="20"/>
        </w:rPr>
        <w:t xml:space="preserve"> настоящего документа, потребителя, точки поставки которого не оборудованы приборами учета, позволяющими получать данные о почасовых объемах потребления, приведение данных учета о совокупных за расчетный период объемах потребления электрической энергии таким потребителем к почасовым данным осуществляется в порядке, согласованном энергосбытовой (энергоснабжающей) организацией, указанной в </w:t>
      </w:r>
      <w:hyperlink w:anchor="Par553" w:history="1">
        <w:r>
          <w:rPr>
            <w:rFonts w:ascii="Arial" w:hAnsi="Arial" w:cs="Arial"/>
            <w:color w:val="0000FF"/>
            <w:sz w:val="20"/>
            <w:szCs w:val="20"/>
          </w:rPr>
          <w:t>пункте 58</w:t>
        </w:r>
      </w:hyperlink>
      <w:r>
        <w:rPr>
          <w:rFonts w:ascii="Arial" w:hAnsi="Arial" w:cs="Arial"/>
          <w:sz w:val="20"/>
          <w:szCs w:val="20"/>
        </w:rPr>
        <w:t xml:space="preserve"> настоящего документа, и гарантирующим поставщиком.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Гарантирующий поставщик предлагает энергосбытовой (энергоснабжающей) организации порядок приведения данных учета о совокупных за расчетный период объемах потребления электрической энергии к почасовым объемам потребления электрической энергии при заключении (изменении) с ней договора купли-продажи (поставки) электрической энергии (мощности) на розничном рынке в отношении соответствующих точек поставки, по которым такой гарантирующий поставщик будет приобретать электрическую энергию (мощность) для целей поставки принимаемому на обслуживание потребителю вплоть до внесения на оптовом рынке изменений в группы точек поставки такого гарантирующего поставщика и энергосбытовой (энергоснабжающей) организации.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если порядок приведения данных учета о совокупных за расчетный период объемах потребления электрической энергии к почасовым объемам потребления электрической энергии в договоре купли-продажи (поставки) электрической энергии (мощности) на розничном рынке отсутствует, то при определении почасовых объемов потребления электрической энергии указанным потребителем подлежат использованию почасовые объемы потребления гарантирующего поставщика на оптовом рынке.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этом указанные энергосбытовые (энергоснабжающие) организации в 3-месячный срок с момента перехода указанного потребителя на обслуживание к гарантирующему поставщику обязаны обеспечить оснащение новых границ балансовой принадлежности с гарантирующим поставщиком приборами учета, позволяющими получать данные о почасовых объемах потребления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197. Сетевые организации представляют в диспетчерские центры системного оператора в отношении межгосударственных линий электропередачи, а также в отношении линий электропередачи номинальным классом напряжения 35 кВ и выше, проходящих по территории 2 или более субъектов Российской Федерации: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информацию об объемах электрической энергии, переданной по указанным линиям электропередачи за прошедшие сутки, - до 7 часов 00 минут следующих суток;</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полученные на основании показаний приборов учета данные об объемах электрической энергии, переданной по указанным линиям электропередачи за прошедший месяц, - до 7-го числа следующего месяца.</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bookmarkStart w:id="161" w:name="Par1588"/>
      <w:bookmarkEnd w:id="161"/>
      <w:r>
        <w:rPr>
          <w:rFonts w:ascii="Arial" w:eastAsiaTheme="minorHAnsi" w:hAnsi="Arial" w:cs="Arial"/>
          <w:color w:val="auto"/>
          <w:sz w:val="20"/>
          <w:szCs w:val="20"/>
        </w:rPr>
        <w:t>XI. Порядок присвоения организациям статуса</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гарантирующего поставщика, определения и (или) изменения</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границ зон деятельности гарантирующих поставщиков</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bookmarkStart w:id="162" w:name="Par1592"/>
      <w:bookmarkEnd w:id="162"/>
      <w:r>
        <w:rPr>
          <w:rFonts w:ascii="Arial" w:hAnsi="Arial" w:cs="Arial"/>
          <w:sz w:val="20"/>
          <w:szCs w:val="20"/>
        </w:rPr>
        <w:t>198. Гарантирующими поставщиками со дня вступления в силу настоящего документа являются организации, которые на эту дату имеют присвоенный им в установленном законодательством Российской Федерации об электроэнергетике порядке статус гарантирующего поставщика, а именно:</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63" w:name="Par1593"/>
      <w:bookmarkEnd w:id="163"/>
      <w:r>
        <w:rPr>
          <w:rFonts w:ascii="Arial" w:hAnsi="Arial" w:cs="Arial"/>
          <w:sz w:val="20"/>
          <w:szCs w:val="20"/>
        </w:rPr>
        <w:t>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64" w:name="Par1594"/>
      <w:bookmarkEnd w:id="164"/>
      <w:r>
        <w:rPr>
          <w:rFonts w:ascii="Arial" w:hAnsi="Arial" w:cs="Arial"/>
          <w:sz w:val="20"/>
          <w:szCs w:val="20"/>
        </w:rPr>
        <w:t>назначенные в 2006 году гарантирующими поставщиками энергоснабжающие организации, осуществлявшие поставку электрической энергии в объеме не менее 50 млн. кВт·ч в год для снабжения граждан и (или) финансируемых за счет средств бюджетов различных уровней потребителей, энергопринимающие устройства которых были присоединены к принадлежащим таким организациям на праве собственности или ином законном основании электрическим сетям, либо энергосбытовые организации, которые в порядке правопреемства или на ином законном основании приобрели права и обязанности таких энергоснабжающих организаций по договорам энергоснабжения и получили статус гарантирующего поставщика, если при этом такие энергоснабжающие (энергосбытовые) организации не утратили этот статус с 1 января 2010 г. в связи с невыполнением требования законодательства Российской Федерации об электроэнергетике о получении до 1 января 2010 г. права на участие в торговле электрической энергией (мощностью) на оптовом рынке по группе точек поставки, соответствующей ее зоне деятельности в качестве гарантирующего поставщика,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65" w:name="Par1595"/>
      <w:bookmarkEnd w:id="165"/>
      <w:r>
        <w:rPr>
          <w:rFonts w:ascii="Arial" w:hAnsi="Arial" w:cs="Arial"/>
          <w:sz w:val="20"/>
          <w:szCs w:val="20"/>
        </w:rPr>
        <w:t>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энергосбытовые организации не утратили статус гарантирующего поставщика с 1 января 2010 г. в связи с невыполнением требования законодательства Российской Федерации об электроэнергетике о получении до 1 января 2010 г. права на участие в торговле электрической энергией (мощностью) на оптовом рынке по группе точек поставки, соответствующей ее зоне деятельности в качестве гарантирующего поставщика,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назначенные гарантирующими поставщиками в 2006 году хозяйствующие субъекты, эксплуатирующие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если потребители, энергопринимающие устройства которых присоединены к таким объектам, не имели договоров энергоснабжения (купли-продажи (поставки) электрической энергии (мощности)) с организациями, указанными в </w:t>
      </w:r>
      <w:hyperlink w:anchor="Par1593" w:history="1">
        <w:r>
          <w:rPr>
            <w:rFonts w:ascii="Arial" w:hAnsi="Arial" w:cs="Arial"/>
            <w:color w:val="0000FF"/>
            <w:sz w:val="20"/>
            <w:szCs w:val="20"/>
          </w:rPr>
          <w:t>абзацах втором</w:t>
        </w:r>
      </w:hyperlink>
      <w:r>
        <w:rPr>
          <w:rFonts w:ascii="Arial" w:hAnsi="Arial" w:cs="Arial"/>
          <w:sz w:val="20"/>
          <w:szCs w:val="20"/>
        </w:rPr>
        <w:t xml:space="preserve"> - </w:t>
      </w:r>
      <w:hyperlink w:anchor="Par1595" w:history="1">
        <w:r>
          <w:rPr>
            <w:rFonts w:ascii="Arial" w:hAnsi="Arial" w:cs="Arial"/>
            <w:color w:val="0000FF"/>
            <w:sz w:val="20"/>
            <w:szCs w:val="20"/>
          </w:rPr>
          <w:t>четвертом</w:t>
        </w:r>
      </w:hyperlink>
      <w:r>
        <w:rPr>
          <w:rFonts w:ascii="Arial" w:hAnsi="Arial" w:cs="Arial"/>
          <w:sz w:val="20"/>
          <w:szCs w:val="20"/>
        </w:rPr>
        <w:t xml:space="preserve"> настоящего пункта,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66" w:name="Par1597"/>
      <w:bookmarkEnd w:id="166"/>
      <w:r>
        <w:rPr>
          <w:rFonts w:ascii="Arial" w:hAnsi="Arial" w:cs="Arial"/>
          <w:sz w:val="20"/>
          <w:szCs w:val="20"/>
        </w:rPr>
        <w:t xml:space="preserve">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w:t>
      </w:r>
      <w:r>
        <w:rPr>
          <w:rFonts w:ascii="Arial" w:hAnsi="Arial" w:cs="Arial"/>
          <w:sz w:val="20"/>
          <w:szCs w:val="20"/>
        </w:rPr>
        <w:lastRenderedPageBreak/>
        <w:t xml:space="preserve">(юридических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обороны Российской Федерации и (или) образованным во исполнение </w:t>
      </w:r>
      <w:hyperlink r:id="rId543" w:history="1">
        <w:r>
          <w:rPr>
            <w:rFonts w:ascii="Arial" w:hAnsi="Arial" w:cs="Arial"/>
            <w:color w:val="0000FF"/>
            <w:sz w:val="20"/>
            <w:szCs w:val="20"/>
          </w:rPr>
          <w:t>Указа</w:t>
        </w:r>
      </w:hyperlink>
      <w:r>
        <w:rPr>
          <w:rFonts w:ascii="Arial" w:hAnsi="Arial" w:cs="Arial"/>
          <w:sz w:val="20"/>
          <w:szCs w:val="20"/>
        </w:rPr>
        <w:t xml:space="preserve"> Президента Российской Федерации от 15 сентября 2008 г. N 1359 "Об открытом акционерном обществе "Оборонсервис".</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Границами зон деятельности каждого из таких гарантирующих поставщиков являются границы, закрепленные за соответствующим гарантирующим поставщиком в установленном законодательством Российской Федерации об электроэнергетике порядке на день вступления в силу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Гарантирующими поставщиками с 1 октября 2012 г. являются указанные организации, которые не утратили статус гарантирующего поставщика в соответствии с </w:t>
      </w:r>
      <w:hyperlink w:anchor="Par1947" w:history="1">
        <w:r>
          <w:rPr>
            <w:rFonts w:ascii="Arial" w:hAnsi="Arial" w:cs="Arial"/>
            <w:color w:val="0000FF"/>
            <w:sz w:val="20"/>
            <w:szCs w:val="20"/>
          </w:rPr>
          <w:t>пунктом 229</w:t>
        </w:r>
      </w:hyperlink>
      <w:r>
        <w:rPr>
          <w:rFonts w:ascii="Arial" w:hAnsi="Arial" w:cs="Arial"/>
          <w:sz w:val="20"/>
          <w:szCs w:val="20"/>
        </w:rPr>
        <w:t xml:space="preserve"> настоящего документа. При этом границами зон деятельности каждого из таких гарантирующих поставщиков являются границы, закрепленные за соответствующим гарантирующим поставщиком в установленном законодательством Российской Федерации об электроэнергетике порядке на день вступления в силу настоящего документа с учетом их изменения в соответствии с </w:t>
      </w:r>
      <w:hyperlink w:anchor="Par1947" w:history="1">
        <w:r>
          <w:rPr>
            <w:rFonts w:ascii="Arial" w:hAnsi="Arial" w:cs="Arial"/>
            <w:color w:val="0000FF"/>
            <w:sz w:val="20"/>
            <w:szCs w:val="20"/>
          </w:rPr>
          <w:t>пунктом 229</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Гарантирующим поставщиком на территории г. Севастополя является организация, которая на дату вступления в силу </w:t>
      </w:r>
      <w:hyperlink r:id="rId544" w:history="1">
        <w:r>
          <w:rPr>
            <w:rFonts w:ascii="Arial" w:hAnsi="Arial" w:cs="Arial"/>
            <w:color w:val="0000FF"/>
            <w:sz w:val="20"/>
            <w:szCs w:val="20"/>
          </w:rPr>
          <w:t>постановления</w:t>
        </w:r>
      </w:hyperlink>
      <w:r>
        <w:rPr>
          <w:rFonts w:ascii="Arial" w:hAnsi="Arial" w:cs="Arial"/>
          <w:sz w:val="20"/>
          <w:szCs w:val="20"/>
        </w:rPr>
        <w:t xml:space="preserve"> Правительства Российской Федерации от 23 декабря 2016 г. N 1446 "Об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 осуществляет деятельность по начислению платы за электрическую энергию, потребленную гражданами, проживающими на территории г. Севастополя, приему платежей за электрическую энергию от указанных лиц, а также по составлению и направлению указанным лицам платежных документов для внесения платы за электрическую энергию. При этом граница зоны деятельности гарантирующего поставщика на территории г. Севастополя определяется административными границами г. Севастополя.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545"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23.12.2016 N 1446)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67" w:name="Par1602"/>
      <w:bookmarkEnd w:id="167"/>
      <w:r>
        <w:rPr>
          <w:rFonts w:ascii="Arial" w:hAnsi="Arial" w:cs="Arial"/>
          <w:sz w:val="20"/>
          <w:szCs w:val="20"/>
        </w:rPr>
        <w:t>Гарантирующими поставщиками, функционирующими на территориях Республики Крым и г. Севастополя по определенным Правительством Российской Федерации границам зон деятельности, являются организации, определенные Правительством Российской Федерации в качестве гарантирующих поставщиков при отнесении территорий Республики Крым и г. Севастополя к территориям, которые объединены в первую ценовую зону оптового рынка.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546"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23.12.2016 N 1446)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 1 апреля 2017 г. гарантирующими поставщиками на территории Республики Крым являются организации, которые на эту дату не утратили статус гарантирующего поставщика в соответствии с настоящим пунктом или </w:t>
      </w:r>
      <w:hyperlink w:anchor="Par1947" w:history="1">
        <w:r>
          <w:rPr>
            <w:rFonts w:ascii="Arial" w:hAnsi="Arial" w:cs="Arial"/>
            <w:color w:val="0000FF"/>
            <w:sz w:val="20"/>
            <w:szCs w:val="20"/>
          </w:rPr>
          <w:t>пунктом 229</w:t>
        </w:r>
      </w:hyperlink>
      <w:r>
        <w:rPr>
          <w:rFonts w:ascii="Arial" w:hAnsi="Arial" w:cs="Arial"/>
          <w:sz w:val="20"/>
          <w:szCs w:val="20"/>
        </w:rPr>
        <w:t xml:space="preserve"> настоящего документа. При этом границы зон деятельности таких гарантирующих поставщиков могут быть изменены в соответствии с </w:t>
      </w:r>
      <w:hyperlink w:anchor="Par1947" w:history="1">
        <w:r>
          <w:rPr>
            <w:rFonts w:ascii="Arial" w:hAnsi="Arial" w:cs="Arial"/>
            <w:color w:val="0000FF"/>
            <w:sz w:val="20"/>
            <w:szCs w:val="20"/>
          </w:rPr>
          <w:t>пунктом 229</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547"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23.12.2016 N 1446)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Если до 1 января 2017 г. гарантирующим поставщиком на территориях Республики Крым или г. Севастополя не обеспечено участие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то до даты начала его участия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или до даты утраты статуса гарантирующего поставщика такой гарантирующий поставщик приобретает электрическую энергию (мощность) у гарантирующего поставщика - участника оптового рынка, имеющего статус гарантирующего поставщика на территории Республики Крым и осуществлявшего поставку электрической энергии на территории Республики Крым в объеме более 20 млн. кВт·ч в 2013 году для снабжения населения.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548"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23.12.2016 N 1446)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Если до 31 марта 2017 г. гарантирующим поставщиком на территории г. Севастополя не обеспечено участие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то с 1 апреля 2017 г. такой гарантирующий поставщик утрачивает статус гарантирующего поставщика на территории г. Севастополя и по соответствующей зоне деятельности функции такого гарантирующего поставщика осуществляются организацией, которая по состоянию на 1 апреля 2017 г. имеет статус гарантирующего поставщика на территории Республики Крым и которая осуществляла поставку </w:t>
      </w:r>
      <w:r>
        <w:rPr>
          <w:rFonts w:ascii="Arial" w:hAnsi="Arial" w:cs="Arial"/>
          <w:sz w:val="20"/>
          <w:szCs w:val="20"/>
        </w:rPr>
        <w:lastRenderedPageBreak/>
        <w:t>электрической энергии на территории Республики Крым в объеме более 20 млн. кВт·ч в 2013 году для снабжения населения.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549"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23.12.2016 N 1446)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 даты включения территории, ранее технологически не связанной с Единой энергетической системой России и технологически изолированными территориальными электроэнергетическими системами, в состав ценовой (неценовой) зоны оптового рынка гарантирующим поставщиком на такой территории является организация, осуществляющая на указанную дату в границах указанной территории функции гарантирующего поставщика. Границами зоны деятельности такого гарантирующего поставщика являются границы зоны деятельности указанной организации.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550"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30.06.2018 N 761)</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199. Замена гарантирующего поставщика осуществляется решением уполномоченного федерального органа или решением уполномоченного органа субъекта Российской Федерации в случае наступления обстоятельств, предусмотренных в настоящем разделе.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наступлении обстоятельств, предусмотренных </w:t>
      </w:r>
      <w:hyperlink w:anchor="Par1634" w:history="1">
        <w:r>
          <w:rPr>
            <w:rFonts w:ascii="Arial" w:hAnsi="Arial" w:cs="Arial"/>
            <w:color w:val="0000FF"/>
            <w:sz w:val="20"/>
            <w:szCs w:val="20"/>
          </w:rPr>
          <w:t>пунктом 202</w:t>
        </w:r>
      </w:hyperlink>
      <w:r>
        <w:rPr>
          <w:rFonts w:ascii="Arial" w:hAnsi="Arial" w:cs="Arial"/>
          <w:sz w:val="20"/>
          <w:szCs w:val="20"/>
        </w:rPr>
        <w:t xml:space="preserve"> настоящего документа в отношении гарантирующих поставщиков, функционирующих на территориях технологически изолированных территориальных электроэнергетических систем, а также на территориях, технологически не связанных с Единой энергетической системой России и с технологически изолированными территориальными электроэнергетическими системами, замена гарантирующего поставщика происходит в порядке, определенном </w:t>
      </w:r>
      <w:hyperlink w:anchor="Par1881" w:history="1">
        <w:r>
          <w:rPr>
            <w:rFonts w:ascii="Arial" w:hAnsi="Arial" w:cs="Arial"/>
            <w:color w:val="0000FF"/>
            <w:sz w:val="20"/>
            <w:szCs w:val="20"/>
          </w:rPr>
          <w:t>пунктами 226</w:t>
        </w:r>
      </w:hyperlink>
      <w:r>
        <w:rPr>
          <w:rFonts w:ascii="Arial" w:hAnsi="Arial" w:cs="Arial"/>
          <w:sz w:val="20"/>
          <w:szCs w:val="20"/>
        </w:rPr>
        <w:t xml:space="preserve"> и </w:t>
      </w:r>
      <w:hyperlink w:anchor="Par1895" w:history="1">
        <w:r>
          <w:rPr>
            <w:rFonts w:ascii="Arial" w:hAnsi="Arial" w:cs="Arial"/>
            <w:color w:val="0000FF"/>
            <w:sz w:val="20"/>
            <w:szCs w:val="20"/>
          </w:rPr>
          <w:t>227</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наступлении до 1 сентября 2020 г. обстоятельств, предусмотренных </w:t>
      </w:r>
      <w:hyperlink w:anchor="Par1903" w:history="1">
        <w:r>
          <w:rPr>
            <w:rFonts w:ascii="Arial" w:hAnsi="Arial" w:cs="Arial"/>
            <w:color w:val="0000FF"/>
            <w:sz w:val="20"/>
            <w:szCs w:val="20"/>
          </w:rPr>
          <w:t>абзацем первым пункта 227(1)</w:t>
        </w:r>
      </w:hyperlink>
      <w:r>
        <w:rPr>
          <w:rFonts w:ascii="Arial" w:hAnsi="Arial" w:cs="Arial"/>
          <w:sz w:val="20"/>
          <w:szCs w:val="20"/>
        </w:rPr>
        <w:t xml:space="preserve"> настоящего документа, в отношении гарантирующего поставщика, зоны деятельности которого расположены на территориях нескольких субъектов Российской Федерации, его замена в зоне деятельности, расположенной на территории субъекта Российской Федерации, происходит в порядке, определенном </w:t>
      </w:r>
      <w:hyperlink w:anchor="Par1903" w:history="1">
        <w:r>
          <w:rPr>
            <w:rFonts w:ascii="Arial" w:hAnsi="Arial" w:cs="Arial"/>
            <w:color w:val="0000FF"/>
            <w:sz w:val="20"/>
            <w:szCs w:val="20"/>
          </w:rPr>
          <w:t>пунктами 227(1)</w:t>
        </w:r>
      </w:hyperlink>
      <w:r>
        <w:rPr>
          <w:rFonts w:ascii="Arial" w:hAnsi="Arial" w:cs="Arial"/>
          <w:sz w:val="20"/>
          <w:szCs w:val="20"/>
        </w:rPr>
        <w:t xml:space="preserve"> - </w:t>
      </w:r>
      <w:hyperlink w:anchor="Par1930" w:history="1">
        <w:r>
          <w:rPr>
            <w:rFonts w:ascii="Arial" w:hAnsi="Arial" w:cs="Arial"/>
            <w:color w:val="0000FF"/>
            <w:sz w:val="20"/>
            <w:szCs w:val="20"/>
          </w:rPr>
          <w:t>227(4)</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551"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22.06.2019 N 800)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Организация утрачивает статус гарантирующего поставщика со дня присвоения этого статуса в соответствующей зоне деятельности другой организации в установленном настоящим документом порядке, за исключением случая утраты статуса гарантирующего поставщика организацией, указанной в </w:t>
      </w:r>
      <w:hyperlink w:anchor="Par1597" w:history="1">
        <w:r>
          <w:rPr>
            <w:rFonts w:ascii="Arial" w:hAnsi="Arial" w:cs="Arial"/>
            <w:color w:val="0000FF"/>
            <w:sz w:val="20"/>
            <w:szCs w:val="20"/>
          </w:rPr>
          <w:t>абзаце шестом пункта 198</w:t>
        </w:r>
      </w:hyperlink>
      <w:r>
        <w:rPr>
          <w:rFonts w:ascii="Arial" w:hAnsi="Arial" w:cs="Arial"/>
          <w:sz w:val="20"/>
          <w:szCs w:val="20"/>
        </w:rPr>
        <w:t xml:space="preserve"> настоящего документа, в соответствии с </w:t>
      </w:r>
      <w:hyperlink w:anchor="Par1667" w:history="1">
        <w:r>
          <w:rPr>
            <w:rFonts w:ascii="Arial" w:hAnsi="Arial" w:cs="Arial"/>
            <w:color w:val="0000FF"/>
            <w:sz w:val="20"/>
            <w:szCs w:val="20"/>
          </w:rPr>
          <w:t>абзацами семнадцатым</w:t>
        </w:r>
      </w:hyperlink>
      <w:r>
        <w:rPr>
          <w:rFonts w:ascii="Arial" w:hAnsi="Arial" w:cs="Arial"/>
          <w:sz w:val="20"/>
          <w:szCs w:val="20"/>
        </w:rPr>
        <w:t xml:space="preserve"> - </w:t>
      </w:r>
      <w:hyperlink w:anchor="Par1671" w:history="1">
        <w:r>
          <w:rPr>
            <w:rFonts w:ascii="Arial" w:hAnsi="Arial" w:cs="Arial"/>
            <w:color w:val="0000FF"/>
            <w:sz w:val="20"/>
            <w:szCs w:val="20"/>
          </w:rPr>
          <w:t>девятнадцатым пункта 202</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Постановлений Правительства РФ от 23.12.2016 </w:t>
      </w:r>
      <w:hyperlink r:id="rId552" w:history="1">
        <w:r>
          <w:rPr>
            <w:rFonts w:ascii="Arial" w:hAnsi="Arial" w:cs="Arial"/>
            <w:color w:val="0000FF"/>
            <w:sz w:val="20"/>
            <w:szCs w:val="20"/>
          </w:rPr>
          <w:t>N 1446</w:t>
        </w:r>
      </w:hyperlink>
      <w:r>
        <w:rPr>
          <w:rFonts w:ascii="Arial" w:hAnsi="Arial" w:cs="Arial"/>
          <w:sz w:val="20"/>
          <w:szCs w:val="20"/>
        </w:rPr>
        <w:t xml:space="preserve">, от 11.11.2017 </w:t>
      </w:r>
      <w:hyperlink r:id="rId553" w:history="1">
        <w:r>
          <w:rPr>
            <w:rFonts w:ascii="Arial" w:hAnsi="Arial" w:cs="Arial"/>
            <w:color w:val="0000FF"/>
            <w:sz w:val="20"/>
            <w:szCs w:val="20"/>
          </w:rPr>
          <w:t>N 1365</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связи с принятием уполномоченным федеральным органом в соответствии с настоящим документом решения, влекущего замену гарантирующего поставщика, уполномоченный орган субъекта Российской Федерации обязан отменить ранее принятые в отношении такого гарантирующего поставщика решения с даты, соответствующей указанной в решении уполномоченного федерального органа дате присвоения статуса гарантирующего поставщика другой организации, и принять решение об определении границ зоны деятельности, в отношении которой организация получила статус гарантирующего поставщика.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554"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28.05.2015 N 508)</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199 в ред. </w:t>
      </w:r>
      <w:hyperlink r:id="rId555"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30.12.2012 N 1482)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68" w:name="Par1621"/>
      <w:bookmarkEnd w:id="168"/>
      <w:r>
        <w:rPr>
          <w:rFonts w:ascii="Arial" w:hAnsi="Arial" w:cs="Arial"/>
          <w:sz w:val="20"/>
          <w:szCs w:val="20"/>
        </w:rPr>
        <w:t>200. В случае реорганизации юридического лица, имеющего статус гарантирующего поставщика, в форме слияния или преобразования,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вновь создаваемому юридическому лицу с даты его государственной регистрации.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присоединения юридического лица, имеющего статус гарантирующего поставщика, к другому юридическому лицу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реорганизованному юридическому лицу с даты внесения в Единый государственный реестр юридических лиц записи о прекращении деятельности присоединяемой организации при условии, что к организации-правопреемнику переходят все права и обязанности присоединяемой организации, имеющей статус гарантирующего поставщика.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Организация-правопреемник должна соответствовать требованиям, указанным в </w:t>
      </w:r>
      <w:hyperlink w:anchor="Par1759" w:history="1">
        <w:r>
          <w:rPr>
            <w:rFonts w:ascii="Arial" w:hAnsi="Arial" w:cs="Arial"/>
            <w:color w:val="0000FF"/>
            <w:sz w:val="20"/>
            <w:szCs w:val="20"/>
          </w:rPr>
          <w:t>абзацах шестом</w:t>
        </w:r>
      </w:hyperlink>
      <w:r>
        <w:rPr>
          <w:rFonts w:ascii="Arial" w:hAnsi="Arial" w:cs="Arial"/>
          <w:sz w:val="20"/>
          <w:szCs w:val="20"/>
        </w:rPr>
        <w:t xml:space="preserve"> и </w:t>
      </w:r>
      <w:hyperlink w:anchor="Par1761" w:history="1">
        <w:r>
          <w:rPr>
            <w:rFonts w:ascii="Arial" w:hAnsi="Arial" w:cs="Arial"/>
            <w:color w:val="0000FF"/>
            <w:sz w:val="20"/>
            <w:szCs w:val="20"/>
          </w:rPr>
          <w:t>седьмом пункта 207</w:t>
        </w:r>
      </w:hyperlink>
      <w:r>
        <w:rPr>
          <w:rFonts w:ascii="Arial" w:hAnsi="Arial" w:cs="Arial"/>
          <w:sz w:val="20"/>
          <w:szCs w:val="20"/>
        </w:rPr>
        <w:t xml:space="preserve"> настоящего документа. При несоответствии организации-правопреемника таким </w:t>
      </w:r>
      <w:r>
        <w:rPr>
          <w:rFonts w:ascii="Arial" w:hAnsi="Arial" w:cs="Arial"/>
          <w:sz w:val="20"/>
          <w:szCs w:val="20"/>
        </w:rPr>
        <w:lastRenderedPageBreak/>
        <w:t>требованиям статус гарантирующего поставщика присваивается территориальной сетевой организации уполномоченным федеральным органом в порядке, предусмотренном настоящим разделом.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 предстоящей реорганизации юридического лица, имеющего статус гарантирующего поставщика, влекущей передачу организации-правопреемнику прав и обязанностей (части прав и обязанностей), связанных с торговлей электрической энергией и (или) мощностью на оптовом и розничных рынках в зоне деятельности гарантирующего поставщика, организация, имеющая статус гарантирующего поставщика, обязана уведомить уполномоченный федеральный орган, совет рынка, уполномоченный орган субъекта Российской Федерации и орган исполнительной власти субъекта Российской Федерации в области государственного регулирования тарифов в течение 10 рабочих дней со дня принятия решения о реорганизации, а также по запросу уполномоченного органа субъекта Российской Федерации предоставлять ему информацию, необходимую для принятия решения о присвоении статуса гарантирующего поставщика организации-правопреемнику или об отказе в присвоении такого статуса по указанным в настоящем пункте основаниям.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Решение уполномоченного органа субъекта Российской Федерации о присвоении статуса гарантирующего поставщика организации-правопреемнику должно соответствовать требованиям, указанным в </w:t>
      </w:r>
      <w:hyperlink w:anchor="Par1851" w:history="1">
        <w:r>
          <w:rPr>
            <w:rFonts w:ascii="Arial" w:hAnsi="Arial" w:cs="Arial"/>
            <w:color w:val="0000FF"/>
            <w:sz w:val="20"/>
            <w:szCs w:val="20"/>
          </w:rPr>
          <w:t>абзацах третьем</w:t>
        </w:r>
      </w:hyperlink>
      <w:r>
        <w:rPr>
          <w:rFonts w:ascii="Arial" w:hAnsi="Arial" w:cs="Arial"/>
          <w:sz w:val="20"/>
          <w:szCs w:val="20"/>
        </w:rPr>
        <w:t xml:space="preserve"> и </w:t>
      </w:r>
      <w:hyperlink w:anchor="Par1853" w:history="1">
        <w:r>
          <w:rPr>
            <w:rFonts w:ascii="Arial" w:hAnsi="Arial" w:cs="Arial"/>
            <w:color w:val="0000FF"/>
            <w:sz w:val="20"/>
            <w:szCs w:val="20"/>
          </w:rPr>
          <w:t>четвертом пункта 220</w:t>
        </w:r>
      </w:hyperlink>
      <w:r>
        <w:rPr>
          <w:rFonts w:ascii="Arial" w:hAnsi="Arial" w:cs="Arial"/>
          <w:sz w:val="20"/>
          <w:szCs w:val="20"/>
        </w:rPr>
        <w:t xml:space="preserve"> настоящего документа. В данном решении также указывается дата присвоения статуса гарантирующего поставщика организации-правопреемнику, которая совпадает с датой, с которой в соответствии с гражданским законодательством Российской Федерации организация, имеющая статус гарантирующего поставщика, считается реорганизованной.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Решение уполномоченного органа субъекта Российской Федерации о присвоении статуса гарантирующего поставщика организации-правопреемнику не позднее 3 рабочих дней со дня его принятия подлежит размещению на официальном сайте уполномоченного органа субъекта Российской Федерации в сети "Интернет", копия указанного решения подлежит направлению в адрес:</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организации, которой присвоен статус гарантирующего поставщика;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федерального органа исполнительной власти в области государственного регулирования тарифов;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уполномоченного федерального органа;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совета рынка.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200 в ред. </w:t>
      </w:r>
      <w:hyperlink r:id="rId556"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30.12.2012 N 1482)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69" w:name="Par1632"/>
      <w:bookmarkEnd w:id="169"/>
      <w:r>
        <w:rPr>
          <w:rFonts w:ascii="Arial" w:hAnsi="Arial" w:cs="Arial"/>
          <w:sz w:val="20"/>
          <w:szCs w:val="20"/>
        </w:rPr>
        <w:t xml:space="preserve">201. В случае когда до даты внесения в Единый государственный реестр юридических лиц записи о ликвидации юридического лица, осуществляющего деятельность в качестве гарантирующего поставщика, статус гарантирующего поставщика в установленном настоящим разделом порядке не был присвоен территориальной сетевой организации либо в установленном в </w:t>
      </w:r>
      <w:hyperlink w:anchor="Par1621" w:history="1">
        <w:r>
          <w:rPr>
            <w:rFonts w:ascii="Arial" w:hAnsi="Arial" w:cs="Arial"/>
            <w:color w:val="0000FF"/>
            <w:sz w:val="20"/>
            <w:szCs w:val="20"/>
          </w:rPr>
          <w:t>пункте 200</w:t>
        </w:r>
      </w:hyperlink>
      <w:r>
        <w:rPr>
          <w:rFonts w:ascii="Arial" w:hAnsi="Arial" w:cs="Arial"/>
          <w:sz w:val="20"/>
          <w:szCs w:val="20"/>
        </w:rPr>
        <w:t xml:space="preserve"> настоящего документа порядке статус гарантирующего поставщика не был присвоен организации-правопреемнику юридического лица, имеющего статус гарантирующего поставщика,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границах которого располагается зона деятельности заменяемого гарантирующего поставщика, и которой в соответствии с </w:t>
      </w:r>
      <w:hyperlink r:id="rId557" w:history="1">
        <w:r>
          <w:rPr>
            <w:rFonts w:ascii="Arial" w:hAnsi="Arial" w:cs="Arial"/>
            <w:color w:val="0000FF"/>
            <w:sz w:val="20"/>
            <w:szCs w:val="20"/>
          </w:rPr>
          <w:t>Правилами</w:t>
        </w:r>
      </w:hyperlink>
      <w:r>
        <w:rPr>
          <w:rFonts w:ascii="Arial" w:hAnsi="Arial" w:cs="Arial"/>
          <w:sz w:val="20"/>
          <w:szCs w:val="20"/>
        </w:rPr>
        <w:t xml:space="preserve"> оптового рынка в целях осуществления функций гарантирующего поставщика присвоен статус субъекта оптового рынка, с даты внесения в Единый государственный реестр юридических лиц записи о ликвидации соответствующего юридического лица.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201 в ред. </w:t>
      </w:r>
      <w:hyperlink r:id="rId558"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30.12.2012 N 1482)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70" w:name="Par1634"/>
      <w:bookmarkEnd w:id="170"/>
      <w:r>
        <w:rPr>
          <w:rFonts w:ascii="Arial" w:hAnsi="Arial" w:cs="Arial"/>
          <w:sz w:val="20"/>
          <w:szCs w:val="20"/>
        </w:rPr>
        <w:t xml:space="preserve">202. Уполномоченный федеральный орган присваивает статус гарантирующего поставщика территориальной сетевой организации в соответствии с </w:t>
      </w:r>
      <w:hyperlink w:anchor="Par1725" w:history="1">
        <w:r>
          <w:rPr>
            <w:rFonts w:ascii="Arial" w:hAnsi="Arial" w:cs="Arial"/>
            <w:color w:val="0000FF"/>
            <w:sz w:val="20"/>
            <w:szCs w:val="20"/>
          </w:rPr>
          <w:t>пунктом 205</w:t>
        </w:r>
      </w:hyperlink>
      <w:r>
        <w:rPr>
          <w:rFonts w:ascii="Arial" w:hAnsi="Arial" w:cs="Arial"/>
          <w:sz w:val="20"/>
          <w:szCs w:val="20"/>
        </w:rPr>
        <w:t xml:space="preserve">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в </w:t>
      </w:r>
      <w:hyperlink w:anchor="Par1597" w:history="1">
        <w:r>
          <w:rPr>
            <w:rFonts w:ascii="Arial" w:hAnsi="Arial" w:cs="Arial"/>
            <w:color w:val="0000FF"/>
            <w:sz w:val="20"/>
            <w:szCs w:val="20"/>
          </w:rPr>
          <w:t>абзаце шестом пункта 198</w:t>
        </w:r>
      </w:hyperlink>
      <w:r>
        <w:rPr>
          <w:rFonts w:ascii="Arial" w:hAnsi="Arial" w:cs="Arial"/>
          <w:sz w:val="20"/>
          <w:szCs w:val="20"/>
        </w:rPr>
        <w:t xml:space="preserve"> настоящего документа), любого из следующих обстоятельств:</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559"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23.12.2016 N 1446)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71" w:name="Par1636"/>
      <w:bookmarkEnd w:id="171"/>
      <w:r>
        <w:rPr>
          <w:rFonts w:ascii="Arial" w:hAnsi="Arial" w:cs="Arial"/>
          <w:sz w:val="20"/>
          <w:szCs w:val="20"/>
        </w:rPr>
        <w:t xml:space="preserve">принятие в соответствии с </w:t>
      </w:r>
      <w:hyperlink r:id="rId560" w:history="1">
        <w:r>
          <w:rPr>
            <w:rFonts w:ascii="Arial" w:hAnsi="Arial" w:cs="Arial"/>
            <w:color w:val="0000FF"/>
            <w:sz w:val="20"/>
            <w:szCs w:val="20"/>
          </w:rPr>
          <w:t>Правилами</w:t>
        </w:r>
      </w:hyperlink>
      <w:r>
        <w:rPr>
          <w:rFonts w:ascii="Arial" w:hAnsi="Arial" w:cs="Arial"/>
          <w:sz w:val="20"/>
          <w:szCs w:val="20"/>
        </w:rPr>
        <w:t xml:space="preserve"> оптового рынка решения об исключении организации, имеющей статус гарантирующего поставщика, из реестра субъектов оптового рынка и (или) о прекращении в </w:t>
      </w:r>
      <w:r>
        <w:rPr>
          <w:rFonts w:ascii="Arial" w:hAnsi="Arial" w:cs="Arial"/>
          <w:sz w:val="20"/>
          <w:szCs w:val="20"/>
        </w:rPr>
        <w:lastRenderedPageBreak/>
        <w:t xml:space="preserve">соответствии с </w:t>
      </w:r>
      <w:hyperlink r:id="rId561" w:history="1">
        <w:r>
          <w:rPr>
            <w:rFonts w:ascii="Arial" w:hAnsi="Arial" w:cs="Arial"/>
            <w:color w:val="0000FF"/>
            <w:sz w:val="20"/>
            <w:szCs w:val="20"/>
          </w:rPr>
          <w:t>Правилами</w:t>
        </w:r>
      </w:hyperlink>
      <w:r>
        <w:rPr>
          <w:rFonts w:ascii="Arial" w:hAnsi="Arial" w:cs="Arial"/>
          <w:sz w:val="20"/>
          <w:szCs w:val="20"/>
        </w:rPr>
        <w:t xml:space="preserve">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принятие в установленном порядке решения о ликвидации организации, имеющей статус гарантирующего поставщика;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72" w:name="Par1638"/>
      <w:bookmarkEnd w:id="172"/>
      <w:r>
        <w:rPr>
          <w:rFonts w:ascii="Arial" w:hAnsi="Arial" w:cs="Arial"/>
          <w:sz w:val="20"/>
          <w:szCs w:val="20"/>
        </w:rPr>
        <w:t xml:space="preserve">принятие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 в соответствии с Федеральным </w:t>
      </w:r>
      <w:hyperlink r:id="rId562" w:history="1">
        <w:r>
          <w:rPr>
            <w:rFonts w:ascii="Arial" w:hAnsi="Arial" w:cs="Arial"/>
            <w:color w:val="0000FF"/>
            <w:sz w:val="20"/>
            <w:szCs w:val="20"/>
          </w:rPr>
          <w:t>законом</w:t>
        </w:r>
      </w:hyperlink>
      <w:r>
        <w:rPr>
          <w:rFonts w:ascii="Arial" w:hAnsi="Arial" w:cs="Arial"/>
          <w:sz w:val="20"/>
          <w:szCs w:val="20"/>
        </w:rPr>
        <w:t xml:space="preserve"> "О несостоятельности (банкротстве)";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отказ организации, имеющей статус гарантирующего поставщика, от осуществления функций гарантирующего поставщика, за исключением случая, предусмотренного </w:t>
      </w:r>
      <w:hyperlink w:anchor="Par1903" w:history="1">
        <w:r>
          <w:rPr>
            <w:rFonts w:ascii="Arial" w:hAnsi="Arial" w:cs="Arial"/>
            <w:color w:val="0000FF"/>
            <w:sz w:val="20"/>
            <w:szCs w:val="20"/>
          </w:rPr>
          <w:t>пунктом 227(1)</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563"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22.06.2019 N 800)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реорганизация юридического лица, имеющего статус гарантирующего поставщика, в форме разделения или выделения, осуществляемых одновременно со слиянием или с присоединением;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73" w:name="Par1642"/>
      <w:bookmarkEnd w:id="173"/>
      <w:r>
        <w:rPr>
          <w:rFonts w:ascii="Arial" w:hAnsi="Arial" w:cs="Arial"/>
          <w:sz w:val="20"/>
          <w:szCs w:val="20"/>
        </w:rPr>
        <w:t>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w:t>
      </w:r>
    </w:p>
    <w:p w:rsidR="009F5AFE" w:rsidRDefault="009F5AFE" w:rsidP="009F5AFE">
      <w:pPr>
        <w:autoSpaceDE w:val="0"/>
        <w:autoSpaceDN w:val="0"/>
        <w:adjustRightInd w:val="0"/>
        <w:spacing w:after="0" w:line="240" w:lineRule="auto"/>
        <w:rPr>
          <w:rFonts w:ascii="Arial" w:hAnsi="Arial" w:cs="Arial"/>
          <w:sz w:val="24"/>
          <w:szCs w:val="24"/>
        </w:rPr>
      </w:pPr>
    </w:p>
    <w:tbl>
      <w:tblPr>
        <w:tblW w:w="5000" w:type="pct"/>
        <w:jc w:val="center"/>
        <w:tblLayout w:type="fixed"/>
        <w:tblCellMar>
          <w:top w:w="113" w:type="dxa"/>
          <w:left w:w="113" w:type="dxa"/>
          <w:bottom w:w="113" w:type="dxa"/>
          <w:right w:w="113" w:type="dxa"/>
        </w:tblCellMar>
        <w:tblLook w:val="0000" w:firstRow="0" w:lastRow="0" w:firstColumn="0" w:lastColumn="0" w:noHBand="0" w:noVBand="0"/>
      </w:tblPr>
      <w:tblGrid>
        <w:gridCol w:w="10433"/>
      </w:tblGrid>
      <w:tr w:rsidR="009F5AFE">
        <w:trPr>
          <w:jc w:val="center"/>
        </w:trPr>
        <w:tc>
          <w:tcPr>
            <w:tcW w:w="5000" w:type="pct"/>
            <w:tcBorders>
              <w:left w:val="single" w:sz="24" w:space="0" w:color="CED3F1"/>
              <w:right w:val="single" w:sz="24" w:space="0" w:color="F4F3F8"/>
            </w:tcBorders>
            <w:shd w:val="clear" w:color="auto" w:fill="F4F3F8"/>
          </w:tcPr>
          <w:p w:rsidR="009F5AFE" w:rsidRDefault="009F5AFE">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9F5AFE" w:rsidRDefault="009F5AFE">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При установлении факта наличия обстоятельства, предусмотренного абз. 8 не учитывается задолженность, погашенная до 16.12.2017, за исключением случаев, указанных в </w:t>
            </w:r>
            <w:hyperlink r:id="rId564" w:history="1">
              <w:r>
                <w:rPr>
                  <w:rFonts w:ascii="Arial" w:hAnsi="Arial" w:cs="Arial"/>
                  <w:color w:val="0000FF"/>
                  <w:sz w:val="20"/>
                  <w:szCs w:val="20"/>
                </w:rPr>
                <w:t>п. 2</w:t>
              </w:r>
            </w:hyperlink>
            <w:r>
              <w:rPr>
                <w:rFonts w:ascii="Arial" w:hAnsi="Arial" w:cs="Arial"/>
                <w:color w:val="392C69"/>
                <w:sz w:val="20"/>
                <w:szCs w:val="20"/>
              </w:rPr>
              <w:t xml:space="preserve"> Постановления Правительства РФ от 11.11.2017 N 1365.</w:t>
            </w:r>
          </w:p>
        </w:tc>
      </w:tr>
    </w:tbl>
    <w:p w:rsidR="009F5AFE" w:rsidRDefault="009F5AFE" w:rsidP="009F5AFE">
      <w:pPr>
        <w:autoSpaceDE w:val="0"/>
        <w:autoSpaceDN w:val="0"/>
        <w:adjustRightInd w:val="0"/>
        <w:spacing w:before="260" w:after="0" w:line="240" w:lineRule="auto"/>
        <w:ind w:firstLine="540"/>
        <w:jc w:val="both"/>
        <w:rPr>
          <w:rFonts w:ascii="Arial" w:hAnsi="Arial" w:cs="Arial"/>
          <w:sz w:val="20"/>
          <w:szCs w:val="20"/>
        </w:rPr>
      </w:pPr>
      <w:bookmarkStart w:id="174" w:name="Par1645"/>
      <w:bookmarkEnd w:id="174"/>
      <w:r>
        <w:rPr>
          <w:rFonts w:ascii="Arial" w:hAnsi="Arial" w:cs="Arial"/>
          <w:sz w:val="20"/>
          <w:szCs w:val="20"/>
        </w:rPr>
        <w:t xml:space="preserve">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w:t>
      </w:r>
      <w:hyperlink w:anchor="Par1649" w:history="1">
        <w:r>
          <w:rPr>
            <w:rFonts w:ascii="Arial" w:hAnsi="Arial" w:cs="Arial"/>
            <w:color w:val="0000FF"/>
            <w:sz w:val="20"/>
            <w:szCs w:val="20"/>
          </w:rPr>
          <w:t>абзацем десятым</w:t>
        </w:r>
      </w:hyperlink>
      <w:r>
        <w:rPr>
          <w:rFonts w:ascii="Arial" w:hAnsi="Arial" w:cs="Arial"/>
          <w:sz w:val="20"/>
          <w:szCs w:val="20"/>
        </w:rPr>
        <w:t xml:space="preserve">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величины обязательств гарантирующего поставщика по оплате услуг по передаче электрической энергии или превышающем такой двойной размер, независимо от исполнения обязательств по оплате услуг по передаче электрической энергии;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565"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11.11.2017 N 1365; в ред. </w:t>
      </w:r>
      <w:hyperlink r:id="rId566"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22.06.2019 N 800)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75" w:name="Par1647"/>
      <w:bookmarkEnd w:id="175"/>
      <w:r>
        <w:rPr>
          <w:rFonts w:ascii="Arial" w:hAnsi="Arial" w:cs="Arial"/>
          <w:sz w:val="20"/>
          <w:szCs w:val="20"/>
        </w:rPr>
        <w:t xml:space="preserve">неисполнение организацией, имеющей статус гарантирующего поставщика, предписания федерального антимонопольного органа об устранении нарушения установленного </w:t>
      </w:r>
      <w:hyperlink r:id="rId567"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требования о соблюдении юридическими лицами, индивидуальными предпринимателями, а также аффилированными лицами в границах одной ценовой зоны оптового рынка запрета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568"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22.06.2019 N 800)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76" w:name="Par1649"/>
      <w:bookmarkEnd w:id="176"/>
      <w:r>
        <w:rPr>
          <w:rFonts w:ascii="Arial" w:hAnsi="Arial" w:cs="Arial"/>
          <w:sz w:val="20"/>
          <w:szCs w:val="20"/>
        </w:rPr>
        <w:t xml:space="preserve">При установлении факта наличия обстоятельства, предусмотренного </w:t>
      </w:r>
      <w:hyperlink w:anchor="Par1645" w:history="1">
        <w:r>
          <w:rPr>
            <w:rFonts w:ascii="Arial" w:hAnsi="Arial" w:cs="Arial"/>
            <w:color w:val="0000FF"/>
            <w:sz w:val="20"/>
            <w:szCs w:val="20"/>
          </w:rPr>
          <w:t>абзацем восьмым</w:t>
        </w:r>
      </w:hyperlink>
      <w:r>
        <w:rPr>
          <w:rFonts w:ascii="Arial" w:hAnsi="Arial" w:cs="Arial"/>
          <w:sz w:val="20"/>
          <w:szCs w:val="20"/>
        </w:rPr>
        <w:t xml:space="preserve">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w:t>
      </w:r>
      <w:hyperlink w:anchor="Par1694" w:history="1">
        <w:r>
          <w:rPr>
            <w:rFonts w:ascii="Arial" w:hAnsi="Arial" w:cs="Arial"/>
            <w:color w:val="0000FF"/>
            <w:sz w:val="20"/>
            <w:szCs w:val="20"/>
          </w:rPr>
          <w:t>абзацами одиннадцатым</w:t>
        </w:r>
      </w:hyperlink>
      <w:r>
        <w:rPr>
          <w:rFonts w:ascii="Arial" w:hAnsi="Arial" w:cs="Arial"/>
          <w:sz w:val="20"/>
          <w:szCs w:val="20"/>
        </w:rPr>
        <w:t xml:space="preserve"> - </w:t>
      </w:r>
      <w:hyperlink w:anchor="Par1704" w:history="1">
        <w:r>
          <w:rPr>
            <w:rFonts w:ascii="Arial" w:hAnsi="Arial" w:cs="Arial"/>
            <w:color w:val="0000FF"/>
            <w:sz w:val="20"/>
            <w:szCs w:val="20"/>
          </w:rPr>
          <w:t>шестнадцатым пункта 203</w:t>
        </w:r>
      </w:hyperlink>
      <w:r>
        <w:rPr>
          <w:rFonts w:ascii="Arial" w:hAnsi="Arial" w:cs="Arial"/>
          <w:sz w:val="20"/>
          <w:szCs w:val="20"/>
        </w:rPr>
        <w:t xml:space="preserve"> настоящего документа. При установлении факта наличия обстоятельства, предусмотренного </w:t>
      </w:r>
      <w:hyperlink w:anchor="Par1645" w:history="1">
        <w:r>
          <w:rPr>
            <w:rFonts w:ascii="Arial" w:hAnsi="Arial" w:cs="Arial"/>
            <w:color w:val="0000FF"/>
            <w:sz w:val="20"/>
            <w:szCs w:val="20"/>
          </w:rPr>
          <w:t>абзацем восьмым</w:t>
        </w:r>
      </w:hyperlink>
      <w:r>
        <w:rPr>
          <w:rFonts w:ascii="Arial" w:hAnsi="Arial" w:cs="Arial"/>
          <w:sz w:val="20"/>
          <w:szCs w:val="20"/>
        </w:rPr>
        <w:t xml:space="preserve"> настоящего пункта, не учитывается задолженность, в отношении которой по условиям утвержденного судом мирового соглашения предусматривается отсрочка или рассрочка исполнения гарантирующим поставщиком обязательства по оплате услуг по передаче электрической энергии.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(абзац введен </w:t>
      </w:r>
      <w:hyperlink r:id="rId569"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11.11.2017 N 1365; в ред. </w:t>
      </w:r>
      <w:hyperlink r:id="rId570"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22.06.2019 N 800)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целях установления обстоятельства, предусмотренного </w:t>
      </w:r>
      <w:hyperlink w:anchor="Par1645" w:history="1">
        <w:r>
          <w:rPr>
            <w:rFonts w:ascii="Arial" w:hAnsi="Arial" w:cs="Arial"/>
            <w:color w:val="0000FF"/>
            <w:sz w:val="20"/>
            <w:szCs w:val="20"/>
          </w:rPr>
          <w:t>абзацем восьмым</w:t>
        </w:r>
      </w:hyperlink>
      <w:r>
        <w:rPr>
          <w:rFonts w:ascii="Arial" w:hAnsi="Arial" w:cs="Arial"/>
          <w:sz w:val="20"/>
          <w:szCs w:val="20"/>
        </w:rPr>
        <w:t xml:space="preserve"> настоящего пункта, среднемесячная величина обязательств по оплате услуг по передаче электрической энергии (P</w:t>
      </w:r>
      <w:r>
        <w:rPr>
          <w:rFonts w:ascii="Arial" w:hAnsi="Arial" w:cs="Arial"/>
          <w:sz w:val="20"/>
          <w:szCs w:val="20"/>
          <w:vertAlign w:val="subscript"/>
        </w:rPr>
        <w:t>обяз</w:t>
      </w:r>
      <w:r>
        <w:rPr>
          <w:rFonts w:ascii="Arial" w:hAnsi="Arial" w:cs="Arial"/>
          <w:sz w:val="20"/>
          <w:szCs w:val="20"/>
        </w:rPr>
        <w:t>) определяется по формуле:</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571"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11.11.2017 N 1365)</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21"/>
          <w:sz w:val="20"/>
          <w:szCs w:val="20"/>
          <w:lang w:eastAsia="ru-RU"/>
        </w:rPr>
        <w:drawing>
          <wp:inline distT="0" distB="0" distL="0" distR="0">
            <wp:extent cx="800100" cy="400050"/>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800100" cy="40005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573"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11.11.2017 N 1365)</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574"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11.11.2017 N 1365)</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S</w:t>
      </w:r>
      <w:r>
        <w:rPr>
          <w:rFonts w:ascii="Arial" w:hAnsi="Arial" w:cs="Arial"/>
          <w:sz w:val="20"/>
          <w:szCs w:val="20"/>
          <w:vertAlign w:val="subscript"/>
        </w:rPr>
        <w:t>пост</w:t>
      </w:r>
      <w:r>
        <w:rPr>
          <w:rFonts w:ascii="Arial" w:hAnsi="Arial" w:cs="Arial"/>
          <w:sz w:val="20"/>
          <w:szCs w:val="20"/>
        </w:rPr>
        <w:t xml:space="preserve"> - стоимость услуг по передаче электрической энергии, указанная в полученных гарантирующим поставщиком счетах на оплату фактически оказанных услуг по передаче электрической энергии (иных документах, содержащих требование об оплате услуг по передаче электрической энергии), выставленных сетевой организацией гарантирующему поставщику за расчетные периоды, за которые у гарантирующего поставщика образовалась задолженность перед сетевой организацией, определенная в соответствии с </w:t>
      </w:r>
      <w:hyperlink w:anchor="Par1649" w:history="1">
        <w:r>
          <w:rPr>
            <w:rFonts w:ascii="Arial" w:hAnsi="Arial" w:cs="Arial"/>
            <w:color w:val="0000FF"/>
            <w:sz w:val="20"/>
            <w:szCs w:val="20"/>
          </w:rPr>
          <w:t>абзацем десятым</w:t>
        </w:r>
      </w:hyperlink>
      <w:r>
        <w:rPr>
          <w:rFonts w:ascii="Arial" w:hAnsi="Arial" w:cs="Arial"/>
          <w:sz w:val="20"/>
          <w:szCs w:val="20"/>
        </w:rPr>
        <w:t xml:space="preserve"> настоящего пункта;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575"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11.11.2017 N 1365; в ред. </w:t>
      </w:r>
      <w:hyperlink r:id="rId576"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22.06.2019 N 800)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n - количество месяцев в периоде, за который определена стоимость услуг по передаче электрической энергии (S</w:t>
      </w:r>
      <w:r>
        <w:rPr>
          <w:rFonts w:ascii="Arial" w:hAnsi="Arial" w:cs="Arial"/>
          <w:sz w:val="20"/>
          <w:szCs w:val="20"/>
          <w:vertAlign w:val="subscript"/>
        </w:rPr>
        <w:t>пост</w:t>
      </w:r>
      <w:r>
        <w:rPr>
          <w:rFonts w:ascii="Arial" w:hAnsi="Arial" w:cs="Arial"/>
          <w:sz w:val="20"/>
          <w:szCs w:val="20"/>
        </w:rPr>
        <w:t xml:space="preserve">) и за который у организации, имеющей статус гарантирующего поставщика, образовалась задолженность перед сетевой организацией, определенная в соответствии с </w:t>
      </w:r>
      <w:hyperlink w:anchor="Par1649" w:history="1">
        <w:r>
          <w:rPr>
            <w:rFonts w:ascii="Arial" w:hAnsi="Arial" w:cs="Arial"/>
            <w:color w:val="0000FF"/>
            <w:sz w:val="20"/>
            <w:szCs w:val="20"/>
          </w:rPr>
          <w:t>абзацем десятым</w:t>
        </w:r>
      </w:hyperlink>
      <w:r>
        <w:rPr>
          <w:rFonts w:ascii="Arial" w:hAnsi="Arial" w:cs="Arial"/>
          <w:sz w:val="20"/>
          <w:szCs w:val="20"/>
        </w:rPr>
        <w:t xml:space="preserve"> настоящего пункта.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577"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11.11.2017 N 1365; в ред. </w:t>
      </w:r>
      <w:hyperlink r:id="rId578"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22.06.2019 N 800)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наступления обстоятельства, предусмотренного </w:t>
      </w:r>
      <w:hyperlink w:anchor="Par1645" w:history="1">
        <w:r>
          <w:rPr>
            <w:rFonts w:ascii="Arial" w:hAnsi="Arial" w:cs="Arial"/>
            <w:color w:val="0000FF"/>
            <w:sz w:val="20"/>
            <w:szCs w:val="20"/>
          </w:rPr>
          <w:t>абзацем восьмым</w:t>
        </w:r>
      </w:hyperlink>
      <w:r>
        <w:rPr>
          <w:rFonts w:ascii="Arial" w:hAnsi="Arial" w:cs="Arial"/>
          <w:sz w:val="20"/>
          <w:szCs w:val="20"/>
        </w:rPr>
        <w:t xml:space="preserve"> настоящего пункта, уполномоченный федеральный орган принимает решения о присвоении статуса гарантирующего поставщика территориальной сетевой организации в соответствии с </w:t>
      </w:r>
      <w:hyperlink w:anchor="Par1725" w:history="1">
        <w:r>
          <w:rPr>
            <w:rFonts w:ascii="Arial" w:hAnsi="Arial" w:cs="Arial"/>
            <w:color w:val="0000FF"/>
            <w:sz w:val="20"/>
            <w:szCs w:val="20"/>
          </w:rPr>
          <w:t>пунктом 205</w:t>
        </w:r>
      </w:hyperlink>
      <w:r>
        <w:rPr>
          <w:rFonts w:ascii="Arial" w:hAnsi="Arial" w:cs="Arial"/>
          <w:sz w:val="20"/>
          <w:szCs w:val="20"/>
        </w:rPr>
        <w:t xml:space="preserve"> настоящего документа и о проведении конкурса на присвоение статуса гарантирующего поставщика только в отношении зоны деятельности гарантирующего поставщика, в границах которой расположены энергопринимающие устройства обслуживаемых им потребителей, в отношении которых оказываются услуги по передаче электрической энергии сетевой организацией, перед которой у такого гарантирующего поставщика возникла задолженность по оплате этих услуг.</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579"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11.11.2017 N 1365)</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Если за 10 рабочих дней до истечения срока, на который территориальной сетевой организации присвоен статус гарантирующего поставщика в соответствующей зоне деятельности, отсутствует организация, признанная победителем конкурса, либо организации - победителю конкурса не присвоен статус гарантирующего поставщика, то уполномоченный федеральный орган присваивает статус гарантирующего поставщика территориальной сетевой организации с даты, следующей за датой истечения указанного срока, а также продолжает проведение конкурса в отношении соответствующей зоны деятельности гарантирующего поставщика, при этом в целях проведения конкурсов применяется ранее сформированный в соответствии с </w:t>
      </w:r>
      <w:hyperlink w:anchor="Par1736" w:history="1">
        <w:r>
          <w:rPr>
            <w:rFonts w:ascii="Arial" w:hAnsi="Arial" w:cs="Arial"/>
            <w:color w:val="0000FF"/>
            <w:sz w:val="20"/>
            <w:szCs w:val="20"/>
          </w:rPr>
          <w:t>пунктом 206</w:t>
        </w:r>
      </w:hyperlink>
      <w:r>
        <w:rPr>
          <w:rFonts w:ascii="Arial" w:hAnsi="Arial" w:cs="Arial"/>
          <w:sz w:val="20"/>
          <w:szCs w:val="20"/>
        </w:rPr>
        <w:t xml:space="preserve"> настоящего документа реестр кредиторов.</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Постановлений Правительства РФ от 30.12.2012 </w:t>
      </w:r>
      <w:hyperlink r:id="rId580" w:history="1">
        <w:r>
          <w:rPr>
            <w:rFonts w:ascii="Arial" w:hAnsi="Arial" w:cs="Arial"/>
            <w:color w:val="0000FF"/>
            <w:sz w:val="20"/>
            <w:szCs w:val="20"/>
          </w:rPr>
          <w:t>N 1482</w:t>
        </w:r>
      </w:hyperlink>
      <w:r>
        <w:rPr>
          <w:rFonts w:ascii="Arial" w:hAnsi="Arial" w:cs="Arial"/>
          <w:sz w:val="20"/>
          <w:szCs w:val="20"/>
        </w:rPr>
        <w:t xml:space="preserve">, от 11.10.2016 </w:t>
      </w:r>
      <w:hyperlink r:id="rId581" w:history="1">
        <w:r>
          <w:rPr>
            <w:rFonts w:ascii="Arial" w:hAnsi="Arial" w:cs="Arial"/>
            <w:color w:val="0000FF"/>
            <w:sz w:val="20"/>
            <w:szCs w:val="20"/>
          </w:rPr>
          <w:t>N 1030</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77" w:name="Par1667"/>
      <w:bookmarkEnd w:id="177"/>
      <w:r>
        <w:rPr>
          <w:rFonts w:ascii="Arial" w:hAnsi="Arial" w:cs="Arial"/>
          <w:sz w:val="20"/>
          <w:szCs w:val="20"/>
        </w:rPr>
        <w:t xml:space="preserve">При наступлении в отношении гарантирующего поставщика, указанного в </w:t>
      </w:r>
      <w:hyperlink w:anchor="Par1597" w:history="1">
        <w:r>
          <w:rPr>
            <w:rFonts w:ascii="Arial" w:hAnsi="Arial" w:cs="Arial"/>
            <w:color w:val="0000FF"/>
            <w:sz w:val="20"/>
            <w:szCs w:val="20"/>
          </w:rPr>
          <w:t>абзаце шестом пункта 198</w:t>
        </w:r>
      </w:hyperlink>
      <w:r>
        <w:rPr>
          <w:rFonts w:ascii="Arial" w:hAnsi="Arial" w:cs="Arial"/>
          <w:sz w:val="20"/>
          <w:szCs w:val="20"/>
        </w:rPr>
        <w:t xml:space="preserve"> настоящего документа, любого из обстоятельств, указанных в </w:t>
      </w:r>
      <w:hyperlink w:anchor="Par1636" w:history="1">
        <w:r>
          <w:rPr>
            <w:rFonts w:ascii="Arial" w:hAnsi="Arial" w:cs="Arial"/>
            <w:color w:val="0000FF"/>
            <w:sz w:val="20"/>
            <w:szCs w:val="20"/>
          </w:rPr>
          <w:t>абзацах втором</w:t>
        </w:r>
      </w:hyperlink>
      <w:r>
        <w:rPr>
          <w:rFonts w:ascii="Arial" w:hAnsi="Arial" w:cs="Arial"/>
          <w:sz w:val="20"/>
          <w:szCs w:val="20"/>
        </w:rPr>
        <w:t xml:space="preserve"> - </w:t>
      </w:r>
      <w:hyperlink w:anchor="Par1642" w:history="1">
        <w:r>
          <w:rPr>
            <w:rFonts w:ascii="Arial" w:hAnsi="Arial" w:cs="Arial"/>
            <w:color w:val="0000FF"/>
            <w:sz w:val="20"/>
            <w:szCs w:val="20"/>
          </w:rPr>
          <w:t>седьмом</w:t>
        </w:r>
      </w:hyperlink>
      <w:r>
        <w:rPr>
          <w:rFonts w:ascii="Arial" w:hAnsi="Arial" w:cs="Arial"/>
          <w:sz w:val="20"/>
          <w:szCs w:val="20"/>
        </w:rPr>
        <w:t xml:space="preserve">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поставщика в порядке, установленном </w:t>
      </w:r>
      <w:hyperlink w:anchor="Par1947" w:history="1">
        <w:r>
          <w:rPr>
            <w:rFonts w:ascii="Arial" w:hAnsi="Arial" w:cs="Arial"/>
            <w:color w:val="0000FF"/>
            <w:sz w:val="20"/>
            <w:szCs w:val="20"/>
          </w:rPr>
          <w:t>пунктом 229</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582"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23.12.2016 N 1446)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Указанное в </w:t>
      </w:r>
      <w:hyperlink w:anchor="Par1667" w:history="1">
        <w:r>
          <w:rPr>
            <w:rFonts w:ascii="Arial" w:hAnsi="Arial" w:cs="Arial"/>
            <w:color w:val="0000FF"/>
            <w:sz w:val="20"/>
            <w:szCs w:val="20"/>
          </w:rPr>
          <w:t>абзаце восемнадцатом</w:t>
        </w:r>
      </w:hyperlink>
      <w:r>
        <w:rPr>
          <w:rFonts w:ascii="Arial" w:hAnsi="Arial" w:cs="Arial"/>
          <w:sz w:val="20"/>
          <w:szCs w:val="20"/>
        </w:rPr>
        <w:t xml:space="preserve"> настоящего пункта решение принимается уполномоченным федеральным органом не позднее 5 рабочих дней со дня получения им сведений, указанных в </w:t>
      </w:r>
      <w:hyperlink w:anchor="Par1681" w:history="1">
        <w:r>
          <w:rPr>
            <w:rFonts w:ascii="Arial" w:hAnsi="Arial" w:cs="Arial"/>
            <w:color w:val="0000FF"/>
            <w:sz w:val="20"/>
            <w:szCs w:val="20"/>
          </w:rPr>
          <w:t>пункте 203</w:t>
        </w:r>
      </w:hyperlink>
      <w:r>
        <w:rPr>
          <w:rFonts w:ascii="Arial" w:hAnsi="Arial" w:cs="Arial"/>
          <w:sz w:val="20"/>
          <w:szCs w:val="20"/>
        </w:rPr>
        <w:t xml:space="preserve"> настоящего документа, о наступлении в отношении гарантирующего поставщика, указанного в </w:t>
      </w:r>
      <w:hyperlink w:anchor="Par1597" w:history="1">
        <w:r>
          <w:rPr>
            <w:rFonts w:ascii="Arial" w:hAnsi="Arial" w:cs="Arial"/>
            <w:color w:val="0000FF"/>
            <w:sz w:val="20"/>
            <w:szCs w:val="20"/>
          </w:rPr>
          <w:t>абзаце шестом пункта 198</w:t>
        </w:r>
      </w:hyperlink>
      <w:r>
        <w:rPr>
          <w:rFonts w:ascii="Arial" w:hAnsi="Arial" w:cs="Arial"/>
          <w:sz w:val="20"/>
          <w:szCs w:val="20"/>
        </w:rPr>
        <w:t xml:space="preserve"> настоящего документа, любого из обстоятельств, указанных в </w:t>
      </w:r>
      <w:hyperlink w:anchor="Par1636" w:history="1">
        <w:r>
          <w:rPr>
            <w:rFonts w:ascii="Arial" w:hAnsi="Arial" w:cs="Arial"/>
            <w:color w:val="0000FF"/>
            <w:sz w:val="20"/>
            <w:szCs w:val="20"/>
          </w:rPr>
          <w:t>абзацах втором</w:t>
        </w:r>
      </w:hyperlink>
      <w:r>
        <w:rPr>
          <w:rFonts w:ascii="Arial" w:hAnsi="Arial" w:cs="Arial"/>
          <w:sz w:val="20"/>
          <w:szCs w:val="20"/>
        </w:rPr>
        <w:t xml:space="preserve"> - </w:t>
      </w:r>
      <w:hyperlink w:anchor="Par1642" w:history="1">
        <w:r>
          <w:rPr>
            <w:rFonts w:ascii="Arial" w:hAnsi="Arial" w:cs="Arial"/>
            <w:color w:val="0000FF"/>
            <w:sz w:val="20"/>
            <w:szCs w:val="20"/>
          </w:rPr>
          <w:t>седьмом</w:t>
        </w:r>
      </w:hyperlink>
      <w:r>
        <w:rPr>
          <w:rFonts w:ascii="Arial" w:hAnsi="Arial" w:cs="Arial"/>
          <w:sz w:val="20"/>
          <w:szCs w:val="20"/>
        </w:rPr>
        <w:t xml:space="preserve"> настоящего пункта. При этом статус гарантирующего поставщика утрачивается организацией, указанной в </w:t>
      </w:r>
      <w:hyperlink w:anchor="Par1597" w:history="1">
        <w:r>
          <w:rPr>
            <w:rFonts w:ascii="Arial" w:hAnsi="Arial" w:cs="Arial"/>
            <w:color w:val="0000FF"/>
            <w:sz w:val="20"/>
            <w:szCs w:val="20"/>
          </w:rPr>
          <w:t>абзаце шестом пункта 198</w:t>
        </w:r>
      </w:hyperlink>
      <w:r>
        <w:rPr>
          <w:rFonts w:ascii="Arial" w:hAnsi="Arial" w:cs="Arial"/>
          <w:sz w:val="20"/>
          <w:szCs w:val="20"/>
        </w:rPr>
        <w:t xml:space="preserve"> настоящего документа, с 1-го числа месяца, следующего за месяцем, в котором было принято решение уполномоченного федерального органа об утрате указанной организацией статуса гарантирующего поставщика, если такое решение принято не позднее 25 числа месяца, и с 1-го числа второго месяца, следующего за месяцем, в котором было принято решение уполномоченного федерального органа об утрате указанной организацией статуса гарантирующего поставщика, если такое решение принимается после 25 числа месяца.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583"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23.12.2016 N 1446; в ред. Постановлений Правительства РФ от 11.11.2017 </w:t>
      </w:r>
      <w:hyperlink r:id="rId584" w:history="1">
        <w:r>
          <w:rPr>
            <w:rFonts w:ascii="Arial" w:hAnsi="Arial" w:cs="Arial"/>
            <w:color w:val="0000FF"/>
            <w:sz w:val="20"/>
            <w:szCs w:val="20"/>
          </w:rPr>
          <w:t>N 1365</w:t>
        </w:r>
      </w:hyperlink>
      <w:r>
        <w:rPr>
          <w:rFonts w:ascii="Arial" w:hAnsi="Arial" w:cs="Arial"/>
          <w:sz w:val="20"/>
          <w:szCs w:val="20"/>
        </w:rPr>
        <w:t xml:space="preserve">, от 22.06.2019 </w:t>
      </w:r>
      <w:hyperlink r:id="rId585" w:history="1">
        <w:r>
          <w:rPr>
            <w:rFonts w:ascii="Arial" w:hAnsi="Arial" w:cs="Arial"/>
            <w:color w:val="0000FF"/>
            <w:sz w:val="20"/>
            <w:szCs w:val="20"/>
          </w:rPr>
          <w:t>N 800</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78" w:name="Par1671"/>
      <w:bookmarkEnd w:id="178"/>
      <w:r>
        <w:rPr>
          <w:rFonts w:ascii="Arial" w:hAnsi="Arial" w:cs="Arial"/>
          <w:sz w:val="20"/>
          <w:szCs w:val="20"/>
        </w:rPr>
        <w:t xml:space="preserve">Не позднее 3 рабочих дней, следующих за днем принятия указанного в </w:t>
      </w:r>
      <w:hyperlink w:anchor="Par1667" w:history="1">
        <w:r>
          <w:rPr>
            <w:rFonts w:ascii="Arial" w:hAnsi="Arial" w:cs="Arial"/>
            <w:color w:val="0000FF"/>
            <w:sz w:val="20"/>
            <w:szCs w:val="20"/>
          </w:rPr>
          <w:t>абзаце восемнадцатом</w:t>
        </w:r>
      </w:hyperlink>
      <w:r>
        <w:rPr>
          <w:rFonts w:ascii="Arial" w:hAnsi="Arial" w:cs="Arial"/>
          <w:sz w:val="20"/>
          <w:szCs w:val="20"/>
        </w:rPr>
        <w:t xml:space="preserve"> настоящего пункта решения, уполномоченный федеральный орган размещает такое решение на своем официальном сайте в сети "Интернет" и направляет копию решения в адрес:</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586"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23.12.2016 N 1446; в ред. Постановлений Правительства РФ от 11.11.2017 </w:t>
      </w:r>
      <w:hyperlink r:id="rId587" w:history="1">
        <w:r>
          <w:rPr>
            <w:rFonts w:ascii="Arial" w:hAnsi="Arial" w:cs="Arial"/>
            <w:color w:val="0000FF"/>
            <w:sz w:val="20"/>
            <w:szCs w:val="20"/>
          </w:rPr>
          <w:t>N 1365</w:t>
        </w:r>
      </w:hyperlink>
      <w:r>
        <w:rPr>
          <w:rFonts w:ascii="Arial" w:hAnsi="Arial" w:cs="Arial"/>
          <w:sz w:val="20"/>
          <w:szCs w:val="20"/>
        </w:rPr>
        <w:t xml:space="preserve">, от 22.06.2019 </w:t>
      </w:r>
      <w:hyperlink r:id="rId588" w:history="1">
        <w:r>
          <w:rPr>
            <w:rFonts w:ascii="Arial" w:hAnsi="Arial" w:cs="Arial"/>
            <w:color w:val="0000FF"/>
            <w:sz w:val="20"/>
            <w:szCs w:val="20"/>
          </w:rPr>
          <w:t>N 800</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организации, которая утрачивает статус гарантирующего поставщика;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589"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23.12.2016 N 1446)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федерального органа исполнительной власти в области государственного регулирования тарифов;</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590"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23.12.2016 N 1446)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уполномоченного органа (органов) субъекта (субъектов) Российской Федерации, на территории которого располагается зона деятельности гарантирующего поставщика;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591"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23.12.2016 N 1446)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совета рынка.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592"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23.12.2016 N 1446)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79" w:name="Par1681"/>
      <w:bookmarkEnd w:id="179"/>
      <w:r>
        <w:rPr>
          <w:rFonts w:ascii="Arial" w:hAnsi="Arial" w:cs="Arial"/>
          <w:sz w:val="20"/>
          <w:szCs w:val="20"/>
        </w:rPr>
        <w:t xml:space="preserve">203. Сведения о наступлении обстоятельств, указанных в </w:t>
      </w:r>
      <w:hyperlink w:anchor="Par1634" w:history="1">
        <w:r>
          <w:rPr>
            <w:rFonts w:ascii="Arial" w:hAnsi="Arial" w:cs="Arial"/>
            <w:color w:val="0000FF"/>
            <w:sz w:val="20"/>
            <w:szCs w:val="20"/>
          </w:rPr>
          <w:t>пункте 202</w:t>
        </w:r>
      </w:hyperlink>
      <w:r>
        <w:rPr>
          <w:rFonts w:ascii="Arial" w:hAnsi="Arial" w:cs="Arial"/>
          <w:sz w:val="20"/>
          <w:szCs w:val="20"/>
        </w:rPr>
        <w:t xml:space="preserve"> настоящего документа, предоставляются в адрес уполномоченного федерального органа, федерального органа исполнительной власти в области государственного регулирования тарифов, совета рынка, органа исполнительной власти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которого располагается зона деятельности в качестве гарантирующего поставщика организации, для которой наступили эти обстоятельства: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советом рынка - не позднее 2 рабочих дней со дня принятия решения об исключении организации, имеющей статус гарантирующего поставщика, из реестра субъектов оптового рынка и (или) о прекращении в соответствии с </w:t>
      </w:r>
      <w:hyperlink r:id="rId593" w:history="1">
        <w:r>
          <w:rPr>
            <w:rFonts w:ascii="Arial" w:hAnsi="Arial" w:cs="Arial"/>
            <w:color w:val="0000FF"/>
            <w:sz w:val="20"/>
            <w:szCs w:val="20"/>
          </w:rPr>
          <w:t>Правилами</w:t>
        </w:r>
      </w:hyperlink>
      <w:r>
        <w:rPr>
          <w:rFonts w:ascii="Arial" w:hAnsi="Arial" w:cs="Arial"/>
          <w:sz w:val="20"/>
          <w:szCs w:val="20"/>
        </w:rPr>
        <w:t xml:space="preserve">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При этом решение совета рынка либо иной организации коммерческой инфраструктуры об исключении такой организации из реестра субъектов оптового рынка и (или) о прекращении поставки (покупки) электрической энергии и мощности на оптовом рынке не может вступить в силу ранее дня присвоения статуса гарантирующего поставщика другой организации, указанной в решении уполномоченного федерального органа о присвоении статуса гарантирующего поставщика, либо дня утраты статуса гарантирующего поставщика такой организацией на основании решения уполномоченного федерального органа исполнительной власти, принятого в соответствии с </w:t>
      </w:r>
      <w:hyperlink w:anchor="Par1667" w:history="1">
        <w:r>
          <w:rPr>
            <w:rFonts w:ascii="Arial" w:hAnsi="Arial" w:cs="Arial"/>
            <w:color w:val="0000FF"/>
            <w:sz w:val="20"/>
            <w:szCs w:val="20"/>
          </w:rPr>
          <w:t>абзацами восемнадцатым</w:t>
        </w:r>
      </w:hyperlink>
      <w:r>
        <w:rPr>
          <w:rFonts w:ascii="Arial" w:hAnsi="Arial" w:cs="Arial"/>
          <w:sz w:val="20"/>
          <w:szCs w:val="20"/>
        </w:rPr>
        <w:t xml:space="preserve"> - </w:t>
      </w:r>
      <w:hyperlink w:anchor="Par1671" w:history="1">
        <w:r>
          <w:rPr>
            <w:rFonts w:ascii="Arial" w:hAnsi="Arial" w:cs="Arial"/>
            <w:color w:val="0000FF"/>
            <w:sz w:val="20"/>
            <w:szCs w:val="20"/>
          </w:rPr>
          <w:t>двадцатым пункта 202</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Постановлений Правительства РФ от 23.12.2016 </w:t>
      </w:r>
      <w:hyperlink r:id="rId594" w:history="1">
        <w:r>
          <w:rPr>
            <w:rFonts w:ascii="Arial" w:hAnsi="Arial" w:cs="Arial"/>
            <w:color w:val="0000FF"/>
            <w:sz w:val="20"/>
            <w:szCs w:val="20"/>
          </w:rPr>
          <w:t>N 1446</w:t>
        </w:r>
      </w:hyperlink>
      <w:r>
        <w:rPr>
          <w:rFonts w:ascii="Arial" w:hAnsi="Arial" w:cs="Arial"/>
          <w:sz w:val="20"/>
          <w:szCs w:val="20"/>
        </w:rPr>
        <w:t xml:space="preserve">, от 11.11.2017 </w:t>
      </w:r>
      <w:hyperlink r:id="rId595" w:history="1">
        <w:r>
          <w:rPr>
            <w:rFonts w:ascii="Arial" w:hAnsi="Arial" w:cs="Arial"/>
            <w:color w:val="0000FF"/>
            <w:sz w:val="20"/>
            <w:szCs w:val="20"/>
          </w:rPr>
          <w:t>N 1365</w:t>
        </w:r>
      </w:hyperlink>
      <w:r>
        <w:rPr>
          <w:rFonts w:ascii="Arial" w:hAnsi="Arial" w:cs="Arial"/>
          <w:sz w:val="20"/>
          <w:szCs w:val="20"/>
        </w:rPr>
        <w:t xml:space="preserve">, от 22.06.2019 </w:t>
      </w:r>
      <w:hyperlink r:id="rId596" w:history="1">
        <w:r>
          <w:rPr>
            <w:rFonts w:ascii="Arial" w:hAnsi="Arial" w:cs="Arial"/>
            <w:color w:val="0000FF"/>
            <w:sz w:val="20"/>
            <w:szCs w:val="20"/>
          </w:rPr>
          <w:t>N 800</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уполномоченным органом управления организации, имеющей статус гарантирующего поставщика, - не позднее 2 рабочих дней со дня принятия решения о ликвидации такой организации;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решения об отказе от осуществления функций гарантирующего поставщика;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уполномоченным органом управления (временным управляющим) организации, имеющей статус гарантирующего поставщика, - не позднее 2 рабочих дней со дня подачи в налоговые органы отчетности, в которой величина собственного капитала гарантирующего поставщика составляет менее 20 процентов среднемесячной стоимости электрической энергии (мощности), приобретаемой потребителями (покупателями) на розничном рынке у указанного гарантирующего поставщика в его зоне деятельности;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решения о реорганизации организации, имеющей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либо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 организации-правопреемнику;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уполномоченным органом субъекта Российской Федерации - не позднее 2 рабочих дней со дня, когда ему стало известно о реорганизации организации, имеющей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либо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 организации-правопреемнику;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сетевой организацией, перед которой у гарантирующего поставщика возникла задолженность по оплате услуг по передаче электрической энергии;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597"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11.11.2017 N 1365)</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федеральным антимонопольным органом - не позднее 2 рабочих дней со дня установления факта неисполнения организацией, имеющей статус гарантирующего поставщика, предписания об устранении нарушения установленного </w:t>
      </w:r>
      <w:hyperlink r:id="rId598"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требования о соблюдении юридическими лицами, индивидуальными предпринимателями, а также аффилированными лицами в границах одной ценовой зоны оптового рынка запрета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599"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22.06.2019 N 800)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80" w:name="Par1694"/>
      <w:bookmarkEnd w:id="180"/>
      <w:r>
        <w:rPr>
          <w:rFonts w:ascii="Arial" w:hAnsi="Arial" w:cs="Arial"/>
          <w:sz w:val="20"/>
          <w:szCs w:val="20"/>
        </w:rPr>
        <w:t xml:space="preserve">Сетевая организация, перед которой у гарантирующего поставщика возникла задолженность, должна предоставить следующие сведения и документы (оригиналы или заверенные уполномоченным лицом сетевой организации копии), подтверждающие наступление обстоятельства, предусмотренного </w:t>
      </w:r>
      <w:hyperlink w:anchor="Par1645" w:history="1">
        <w:r>
          <w:rPr>
            <w:rFonts w:ascii="Arial" w:hAnsi="Arial" w:cs="Arial"/>
            <w:color w:val="0000FF"/>
            <w:sz w:val="20"/>
            <w:szCs w:val="20"/>
          </w:rPr>
          <w:t>абзацем восьмым пункта 202</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600"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11.11.2017 N 1365)</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заявление сетевой организации, содержащее данные, указывающие на наличие обстоятельства, предусмотренного </w:t>
      </w:r>
      <w:hyperlink w:anchor="Par1645" w:history="1">
        <w:r>
          <w:rPr>
            <w:rFonts w:ascii="Arial" w:hAnsi="Arial" w:cs="Arial"/>
            <w:color w:val="0000FF"/>
            <w:sz w:val="20"/>
            <w:szCs w:val="20"/>
          </w:rPr>
          <w:t>абзацем восьмым пункта 202</w:t>
        </w:r>
      </w:hyperlink>
      <w:r>
        <w:rPr>
          <w:rFonts w:ascii="Arial" w:hAnsi="Arial" w:cs="Arial"/>
          <w:sz w:val="20"/>
          <w:szCs w:val="20"/>
        </w:rPr>
        <w:t xml:space="preserve"> настоящего документа, в том числе размер задолженности гарантирующего поставщика перед сетевой организацией по оплате услуг по передаче электрической энергии, подтвержденной вступившими в законную силу судебными актами, а также расчет размера среднемесячной величины обязательств гарантирующего поставщика по оплате услуг по передаче электрической энергии;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601"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11.11.2017 N 1365)</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договор, по которому гарантирующим поставщиком были нарушены обязательства по оплате услуг по передаче электрической энергии (при наличии);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602"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11.11.2017 N 1365)</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вступившие в законную силу судебные акты, подтверждающие неисполнение либо ненадлежащее исполнение гарантирующим поставщиком обязательства по оплате услуг по передаче электрической энергии, а также исполнительные листы, выданные на основании указанных судебных актов (при наличии);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603"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11.11.2017 N 1365)</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счета на оплату услуг по передаче электрической энергии (иные документы, содержащие требование об оплате услуг по передаче электрической энергии), выставленные сетевой организацией гарантирующему поставщику за расчетные периоды, за которые у гарантирующего поставщика образовалась определенная в соответствии с </w:t>
      </w:r>
      <w:hyperlink w:anchor="Par1649" w:history="1">
        <w:r>
          <w:rPr>
            <w:rFonts w:ascii="Arial" w:hAnsi="Arial" w:cs="Arial"/>
            <w:color w:val="0000FF"/>
            <w:sz w:val="20"/>
            <w:szCs w:val="20"/>
          </w:rPr>
          <w:t>абзацем десятым пункта 202</w:t>
        </w:r>
      </w:hyperlink>
      <w:r>
        <w:rPr>
          <w:rFonts w:ascii="Arial" w:hAnsi="Arial" w:cs="Arial"/>
          <w:sz w:val="20"/>
          <w:szCs w:val="20"/>
        </w:rPr>
        <w:t xml:space="preserve"> настоящего документа задолженность перед сетевой организацией, а также документы, подтверждающие факт и дату получения гарантирующим поставщиком таких счетов на оплату (иных документов);</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604"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11.11.2017 N 1365; в ред. </w:t>
      </w:r>
      <w:hyperlink r:id="rId605"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22.06.2019 N 800)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81" w:name="Par1704"/>
      <w:bookmarkEnd w:id="181"/>
      <w:r>
        <w:rPr>
          <w:rFonts w:ascii="Arial" w:hAnsi="Arial" w:cs="Arial"/>
          <w:sz w:val="20"/>
          <w:szCs w:val="20"/>
        </w:rPr>
        <w:t>документы, подтверждающие полномочия лица, подписавшего указанные документы от имени сетевой организации.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606"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11.11.2017 N 1365)</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203 в ред. </w:t>
      </w:r>
      <w:hyperlink r:id="rId607"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30.12.2012 N 1482)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82" w:name="Par1707"/>
      <w:bookmarkEnd w:id="182"/>
      <w:r>
        <w:rPr>
          <w:rFonts w:ascii="Arial" w:hAnsi="Arial" w:cs="Arial"/>
          <w:sz w:val="20"/>
          <w:szCs w:val="20"/>
        </w:rPr>
        <w:t xml:space="preserve">204. Абзац утратил силу. - </w:t>
      </w:r>
      <w:hyperlink r:id="rId608" w:history="1">
        <w:r>
          <w:rPr>
            <w:rFonts w:ascii="Arial" w:hAnsi="Arial" w:cs="Arial"/>
            <w:color w:val="0000FF"/>
            <w:sz w:val="20"/>
            <w:szCs w:val="20"/>
          </w:rPr>
          <w:t>Постановление</w:t>
        </w:r>
      </w:hyperlink>
      <w:r>
        <w:rPr>
          <w:rFonts w:ascii="Arial" w:hAnsi="Arial" w:cs="Arial"/>
          <w:sz w:val="20"/>
          <w:szCs w:val="20"/>
        </w:rPr>
        <w:t xml:space="preserve"> Правительства РФ от 08.12.2018 N 1496.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83" w:name="Par1708"/>
      <w:bookmarkEnd w:id="183"/>
      <w:r>
        <w:rPr>
          <w:rFonts w:ascii="Arial" w:hAnsi="Arial" w:cs="Arial"/>
          <w:sz w:val="20"/>
          <w:szCs w:val="20"/>
        </w:rPr>
        <w:t xml:space="preserve">Совет рынка не позднее 3 рабочих дней со дня получения им сведений, указанных в </w:t>
      </w:r>
      <w:hyperlink w:anchor="Par1681" w:history="1">
        <w:r>
          <w:rPr>
            <w:rFonts w:ascii="Arial" w:hAnsi="Arial" w:cs="Arial"/>
            <w:color w:val="0000FF"/>
            <w:sz w:val="20"/>
            <w:szCs w:val="20"/>
          </w:rPr>
          <w:t>пункте 203</w:t>
        </w:r>
      </w:hyperlink>
      <w:r>
        <w:rPr>
          <w:rFonts w:ascii="Arial" w:hAnsi="Arial" w:cs="Arial"/>
          <w:sz w:val="20"/>
          <w:szCs w:val="20"/>
        </w:rPr>
        <w:t xml:space="preserve"> настоящего документа, направляет в адрес уполномоченного федерального органа данные о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соответствии с </w:t>
      </w:r>
      <w:hyperlink r:id="rId609" w:history="1">
        <w:r>
          <w:rPr>
            <w:rFonts w:ascii="Arial" w:hAnsi="Arial" w:cs="Arial"/>
            <w:color w:val="0000FF"/>
            <w:sz w:val="20"/>
            <w:szCs w:val="20"/>
          </w:rPr>
          <w:t>Правилами</w:t>
        </w:r>
      </w:hyperlink>
      <w:r>
        <w:rPr>
          <w:rFonts w:ascii="Arial" w:hAnsi="Arial" w:cs="Arial"/>
          <w:sz w:val="20"/>
          <w:szCs w:val="20"/>
        </w:rPr>
        <w:t xml:space="preserve"> оптового рынка в целях осуществления функций гарантирующего поставщика присвоен статус субъекта оптового рынка.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Абзац утратил силу. - </w:t>
      </w:r>
      <w:hyperlink r:id="rId610" w:history="1">
        <w:r>
          <w:rPr>
            <w:rFonts w:ascii="Arial" w:hAnsi="Arial" w:cs="Arial"/>
            <w:color w:val="0000FF"/>
            <w:sz w:val="20"/>
            <w:szCs w:val="20"/>
          </w:rPr>
          <w:t>Постановление</w:t>
        </w:r>
      </w:hyperlink>
      <w:r>
        <w:rPr>
          <w:rFonts w:ascii="Arial" w:hAnsi="Arial" w:cs="Arial"/>
          <w:sz w:val="20"/>
          <w:szCs w:val="20"/>
        </w:rPr>
        <w:t xml:space="preserve"> Правительства РФ от 11.11.2017 N 1365.</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Совет рынка в течение 15 рабочих дней со дня получения от сетевой организации сведений и документов о наступлении обстоятельства, предусмотренного </w:t>
      </w:r>
      <w:hyperlink w:anchor="Par1645" w:history="1">
        <w:r>
          <w:rPr>
            <w:rFonts w:ascii="Arial" w:hAnsi="Arial" w:cs="Arial"/>
            <w:color w:val="0000FF"/>
            <w:sz w:val="20"/>
            <w:szCs w:val="20"/>
          </w:rPr>
          <w:t>абзацем восьмым пункта 202</w:t>
        </w:r>
      </w:hyperlink>
      <w:r>
        <w:rPr>
          <w:rFonts w:ascii="Arial" w:hAnsi="Arial" w:cs="Arial"/>
          <w:sz w:val="20"/>
          <w:szCs w:val="20"/>
        </w:rPr>
        <w:t xml:space="preserve"> настоящего документа, направляет в уполномоченный федеральный орган заключение о возможности установления факта наличия обстоятельства, предусмотренного </w:t>
      </w:r>
      <w:hyperlink w:anchor="Par1645" w:history="1">
        <w:r>
          <w:rPr>
            <w:rFonts w:ascii="Arial" w:hAnsi="Arial" w:cs="Arial"/>
            <w:color w:val="0000FF"/>
            <w:sz w:val="20"/>
            <w:szCs w:val="20"/>
          </w:rPr>
          <w:t>абзацем восьмым пункта 202</w:t>
        </w:r>
      </w:hyperlink>
      <w:r>
        <w:rPr>
          <w:rFonts w:ascii="Arial" w:hAnsi="Arial" w:cs="Arial"/>
          <w:sz w:val="20"/>
          <w:szCs w:val="20"/>
        </w:rPr>
        <w:t xml:space="preserve"> настоящего документа, исходя из сведений и документов, предоставленных сетевой организацией.</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611"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11.11.2017 N 1365)</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получения сведений и документов о наступлении обстоятельств, предусмотренных </w:t>
      </w:r>
      <w:hyperlink w:anchor="Par1636" w:history="1">
        <w:r>
          <w:rPr>
            <w:rFonts w:ascii="Arial" w:hAnsi="Arial" w:cs="Arial"/>
            <w:color w:val="0000FF"/>
            <w:sz w:val="20"/>
            <w:szCs w:val="20"/>
          </w:rPr>
          <w:t>абзацами вторым</w:t>
        </w:r>
      </w:hyperlink>
      <w:r>
        <w:rPr>
          <w:rFonts w:ascii="Arial" w:hAnsi="Arial" w:cs="Arial"/>
          <w:sz w:val="20"/>
          <w:szCs w:val="20"/>
        </w:rPr>
        <w:t xml:space="preserve"> - </w:t>
      </w:r>
      <w:hyperlink w:anchor="Par1642" w:history="1">
        <w:r>
          <w:rPr>
            <w:rFonts w:ascii="Arial" w:hAnsi="Arial" w:cs="Arial"/>
            <w:color w:val="0000FF"/>
            <w:sz w:val="20"/>
            <w:szCs w:val="20"/>
          </w:rPr>
          <w:t>седьмым</w:t>
        </w:r>
      </w:hyperlink>
      <w:r>
        <w:rPr>
          <w:rFonts w:ascii="Arial" w:hAnsi="Arial" w:cs="Arial"/>
          <w:sz w:val="20"/>
          <w:szCs w:val="20"/>
        </w:rPr>
        <w:t xml:space="preserve"> и </w:t>
      </w:r>
      <w:hyperlink w:anchor="Par1647" w:history="1">
        <w:r>
          <w:rPr>
            <w:rFonts w:ascii="Arial" w:hAnsi="Arial" w:cs="Arial"/>
            <w:color w:val="0000FF"/>
            <w:sz w:val="20"/>
            <w:szCs w:val="20"/>
          </w:rPr>
          <w:t>девятым пункта 202</w:t>
        </w:r>
      </w:hyperlink>
      <w:r>
        <w:rPr>
          <w:rFonts w:ascii="Arial" w:hAnsi="Arial" w:cs="Arial"/>
          <w:sz w:val="20"/>
          <w:szCs w:val="20"/>
        </w:rPr>
        <w:t xml:space="preserve"> настоящего документа, уполномоченный федеральный орган в течение 5 рабочих дней со дня получения им сведений и документов, указанных в настоящем пункте, принимает решение о присвоении территориальной сетевой организации статуса гарантирующего поставщика с учетом требований, установленных </w:t>
      </w:r>
      <w:hyperlink w:anchor="Par1725" w:history="1">
        <w:r>
          <w:rPr>
            <w:rFonts w:ascii="Arial" w:hAnsi="Arial" w:cs="Arial"/>
            <w:color w:val="0000FF"/>
            <w:sz w:val="20"/>
            <w:szCs w:val="20"/>
          </w:rPr>
          <w:t>пунктом 205</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612"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11.11.2017 N 1365; в ред. </w:t>
      </w:r>
      <w:hyperlink r:id="rId613"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22.06.2019 N 800)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получения от сетевой организации сведений и документов о наступлении обстоятельства, предусмотренного </w:t>
      </w:r>
      <w:hyperlink w:anchor="Par1645" w:history="1">
        <w:r>
          <w:rPr>
            <w:rFonts w:ascii="Arial" w:hAnsi="Arial" w:cs="Arial"/>
            <w:color w:val="0000FF"/>
            <w:sz w:val="20"/>
            <w:szCs w:val="20"/>
          </w:rPr>
          <w:t>абзацем восьмым пункта 202</w:t>
        </w:r>
      </w:hyperlink>
      <w:r>
        <w:rPr>
          <w:rFonts w:ascii="Arial" w:hAnsi="Arial" w:cs="Arial"/>
          <w:sz w:val="20"/>
          <w:szCs w:val="20"/>
        </w:rPr>
        <w:t xml:space="preserve"> настоящего документа, уполномоченный федеральный орган с учетом заключения конкурсной комиссии, сформированной в порядке, определенном </w:t>
      </w:r>
      <w:hyperlink w:anchor="Par1789" w:history="1">
        <w:r>
          <w:rPr>
            <w:rFonts w:ascii="Arial" w:hAnsi="Arial" w:cs="Arial"/>
            <w:color w:val="0000FF"/>
            <w:sz w:val="20"/>
            <w:szCs w:val="20"/>
          </w:rPr>
          <w:t>пунктами 210</w:t>
        </w:r>
      </w:hyperlink>
      <w:r>
        <w:rPr>
          <w:rFonts w:ascii="Arial" w:hAnsi="Arial" w:cs="Arial"/>
          <w:sz w:val="20"/>
          <w:szCs w:val="20"/>
        </w:rPr>
        <w:t xml:space="preserve"> и </w:t>
      </w:r>
      <w:hyperlink w:anchor="Par1799" w:history="1">
        <w:r>
          <w:rPr>
            <w:rFonts w:ascii="Arial" w:hAnsi="Arial" w:cs="Arial"/>
            <w:color w:val="0000FF"/>
            <w:sz w:val="20"/>
            <w:szCs w:val="20"/>
          </w:rPr>
          <w:t>211</w:t>
        </w:r>
      </w:hyperlink>
      <w:r>
        <w:rPr>
          <w:rFonts w:ascii="Arial" w:hAnsi="Arial" w:cs="Arial"/>
          <w:sz w:val="20"/>
          <w:szCs w:val="20"/>
        </w:rPr>
        <w:t xml:space="preserve"> настоящего документа, в течение 35 рабочих дней со дня получения им сведений и документов, указанных в </w:t>
      </w:r>
      <w:hyperlink w:anchor="Par1707" w:history="1">
        <w:r>
          <w:rPr>
            <w:rFonts w:ascii="Arial" w:hAnsi="Arial" w:cs="Arial"/>
            <w:color w:val="0000FF"/>
            <w:sz w:val="20"/>
            <w:szCs w:val="20"/>
          </w:rPr>
          <w:t>абзацах первом</w:t>
        </w:r>
      </w:hyperlink>
      <w:r>
        <w:rPr>
          <w:rFonts w:ascii="Arial" w:hAnsi="Arial" w:cs="Arial"/>
          <w:sz w:val="20"/>
          <w:szCs w:val="20"/>
        </w:rPr>
        <w:t xml:space="preserve"> и </w:t>
      </w:r>
      <w:hyperlink w:anchor="Par1708" w:history="1">
        <w:r>
          <w:rPr>
            <w:rFonts w:ascii="Arial" w:hAnsi="Arial" w:cs="Arial"/>
            <w:color w:val="0000FF"/>
            <w:sz w:val="20"/>
            <w:szCs w:val="20"/>
          </w:rPr>
          <w:t>втором</w:t>
        </w:r>
      </w:hyperlink>
      <w:r>
        <w:rPr>
          <w:rFonts w:ascii="Arial" w:hAnsi="Arial" w:cs="Arial"/>
          <w:sz w:val="20"/>
          <w:szCs w:val="20"/>
        </w:rPr>
        <w:t xml:space="preserve"> настоящего пункта, принимает решение о присвоении территориальной сетевой организации статуса гарантирующего поставщика с учетом требований, установленных </w:t>
      </w:r>
      <w:hyperlink w:anchor="Par1725" w:history="1">
        <w:r>
          <w:rPr>
            <w:rFonts w:ascii="Arial" w:hAnsi="Arial" w:cs="Arial"/>
            <w:color w:val="0000FF"/>
            <w:sz w:val="20"/>
            <w:szCs w:val="20"/>
          </w:rPr>
          <w:t>пунктом 205</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614"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11.11.2017 N 1365)</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Уполномоченный федеральный орган в течение 5 рабочих дней со дня получения от сетевой организации сведений и документов о наступлении обстоятельства, предусмотренного </w:t>
      </w:r>
      <w:hyperlink w:anchor="Par1645" w:history="1">
        <w:r>
          <w:rPr>
            <w:rFonts w:ascii="Arial" w:hAnsi="Arial" w:cs="Arial"/>
            <w:color w:val="0000FF"/>
            <w:sz w:val="20"/>
            <w:szCs w:val="20"/>
          </w:rPr>
          <w:t>абзацем восьмым пункта 202</w:t>
        </w:r>
      </w:hyperlink>
      <w:r>
        <w:rPr>
          <w:rFonts w:ascii="Arial" w:hAnsi="Arial" w:cs="Arial"/>
          <w:sz w:val="20"/>
          <w:szCs w:val="20"/>
        </w:rPr>
        <w:t xml:space="preserve"> настоящего документа, направляет гарантирующему поставщику эти сведения и документы.</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615"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11.11.2017 N 1365)</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Гарантирующий поставщик в течение 5 рабочих дней со дня получения от уполномоченного федерального органа сведений и документов о наступлении обстоятельства, предусмотренного </w:t>
      </w:r>
      <w:hyperlink w:anchor="Par1645" w:history="1">
        <w:r>
          <w:rPr>
            <w:rFonts w:ascii="Arial" w:hAnsi="Arial" w:cs="Arial"/>
            <w:color w:val="0000FF"/>
            <w:sz w:val="20"/>
            <w:szCs w:val="20"/>
          </w:rPr>
          <w:t>абзацем восьмым пункта 202</w:t>
        </w:r>
      </w:hyperlink>
      <w:r>
        <w:rPr>
          <w:rFonts w:ascii="Arial" w:hAnsi="Arial" w:cs="Arial"/>
          <w:sz w:val="20"/>
          <w:szCs w:val="20"/>
        </w:rPr>
        <w:t xml:space="preserve"> настоящего документа, направляет в уполномоченный федеральный орган свои пояснения относительно наличия обстоятельства, предусмотренного </w:t>
      </w:r>
      <w:hyperlink w:anchor="Par1645" w:history="1">
        <w:r>
          <w:rPr>
            <w:rFonts w:ascii="Arial" w:hAnsi="Arial" w:cs="Arial"/>
            <w:color w:val="0000FF"/>
            <w:sz w:val="20"/>
            <w:szCs w:val="20"/>
          </w:rPr>
          <w:t>абзацем восьмым пункта 202</w:t>
        </w:r>
      </w:hyperlink>
      <w:r>
        <w:rPr>
          <w:rFonts w:ascii="Arial" w:hAnsi="Arial" w:cs="Arial"/>
          <w:sz w:val="20"/>
          <w:szCs w:val="20"/>
        </w:rPr>
        <w:t xml:space="preserve"> настоящего документа, с приложением при необходимости подтверждающих документов.</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616"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11.11.2017 N 1365)</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84" w:name="Par1720"/>
      <w:bookmarkEnd w:id="184"/>
      <w:r>
        <w:rPr>
          <w:rFonts w:ascii="Arial" w:hAnsi="Arial" w:cs="Arial"/>
          <w:sz w:val="20"/>
          <w:szCs w:val="20"/>
        </w:rPr>
        <w:t xml:space="preserve">Уполномоченный федеральный орган в течение 20 рабочих дней со дня получения от сетевой организации сведений и документов о наступлении обстоятельства, предусмотренного </w:t>
      </w:r>
      <w:hyperlink w:anchor="Par1645" w:history="1">
        <w:r>
          <w:rPr>
            <w:rFonts w:ascii="Arial" w:hAnsi="Arial" w:cs="Arial"/>
            <w:color w:val="0000FF"/>
            <w:sz w:val="20"/>
            <w:szCs w:val="20"/>
          </w:rPr>
          <w:t>абзацем восьмым пункта 202</w:t>
        </w:r>
      </w:hyperlink>
      <w:r>
        <w:rPr>
          <w:rFonts w:ascii="Arial" w:hAnsi="Arial" w:cs="Arial"/>
          <w:sz w:val="20"/>
          <w:szCs w:val="20"/>
        </w:rPr>
        <w:t xml:space="preserve"> настоящего документа, объявляет дату заседания конкурсной комиссии, сформированной в порядке, определенном </w:t>
      </w:r>
      <w:hyperlink w:anchor="Par1789" w:history="1">
        <w:r>
          <w:rPr>
            <w:rFonts w:ascii="Arial" w:hAnsi="Arial" w:cs="Arial"/>
            <w:color w:val="0000FF"/>
            <w:sz w:val="20"/>
            <w:szCs w:val="20"/>
          </w:rPr>
          <w:t>пунктами 210</w:t>
        </w:r>
      </w:hyperlink>
      <w:r>
        <w:rPr>
          <w:rFonts w:ascii="Arial" w:hAnsi="Arial" w:cs="Arial"/>
          <w:sz w:val="20"/>
          <w:szCs w:val="20"/>
        </w:rPr>
        <w:t xml:space="preserve"> и </w:t>
      </w:r>
      <w:hyperlink w:anchor="Par1799" w:history="1">
        <w:r>
          <w:rPr>
            <w:rFonts w:ascii="Arial" w:hAnsi="Arial" w:cs="Arial"/>
            <w:color w:val="0000FF"/>
            <w:sz w:val="20"/>
            <w:szCs w:val="20"/>
          </w:rPr>
          <w:t>211</w:t>
        </w:r>
      </w:hyperlink>
      <w:r>
        <w:rPr>
          <w:rFonts w:ascii="Arial" w:hAnsi="Arial" w:cs="Arial"/>
          <w:sz w:val="20"/>
          <w:szCs w:val="20"/>
        </w:rPr>
        <w:t xml:space="preserve"> настоящего документа, и передает ей сведения и документы, указанные в </w:t>
      </w:r>
      <w:hyperlink w:anchor="Par1694" w:history="1">
        <w:r>
          <w:rPr>
            <w:rFonts w:ascii="Arial" w:hAnsi="Arial" w:cs="Arial"/>
            <w:color w:val="0000FF"/>
            <w:sz w:val="20"/>
            <w:szCs w:val="20"/>
          </w:rPr>
          <w:t>абзацах одиннадцатом</w:t>
        </w:r>
      </w:hyperlink>
      <w:r>
        <w:rPr>
          <w:rFonts w:ascii="Arial" w:hAnsi="Arial" w:cs="Arial"/>
          <w:sz w:val="20"/>
          <w:szCs w:val="20"/>
        </w:rPr>
        <w:t xml:space="preserve"> - </w:t>
      </w:r>
      <w:hyperlink w:anchor="Par1704" w:history="1">
        <w:r>
          <w:rPr>
            <w:rFonts w:ascii="Arial" w:hAnsi="Arial" w:cs="Arial"/>
            <w:color w:val="0000FF"/>
            <w:sz w:val="20"/>
            <w:szCs w:val="20"/>
          </w:rPr>
          <w:t>шестнадцатом пункта 203</w:t>
        </w:r>
      </w:hyperlink>
      <w:r>
        <w:rPr>
          <w:rFonts w:ascii="Arial" w:hAnsi="Arial" w:cs="Arial"/>
          <w:sz w:val="20"/>
          <w:szCs w:val="20"/>
        </w:rPr>
        <w:t xml:space="preserve"> настоящего документа, заключение совета рынка о возможности установления факта наличия обстоятельства, предусмотренного </w:t>
      </w:r>
      <w:hyperlink w:anchor="Par1645" w:history="1">
        <w:r>
          <w:rPr>
            <w:rFonts w:ascii="Arial" w:hAnsi="Arial" w:cs="Arial"/>
            <w:color w:val="0000FF"/>
            <w:sz w:val="20"/>
            <w:szCs w:val="20"/>
          </w:rPr>
          <w:t>абзацем восьмым пункта 202</w:t>
        </w:r>
      </w:hyperlink>
      <w:r>
        <w:rPr>
          <w:rFonts w:ascii="Arial" w:hAnsi="Arial" w:cs="Arial"/>
          <w:sz w:val="20"/>
          <w:szCs w:val="20"/>
        </w:rPr>
        <w:t xml:space="preserve"> настоящего документа (при наличии), и пояснения гарантирующего поставщика относительно наличия обстоятельства, предусмотренного </w:t>
      </w:r>
      <w:hyperlink w:anchor="Par1645" w:history="1">
        <w:r>
          <w:rPr>
            <w:rFonts w:ascii="Arial" w:hAnsi="Arial" w:cs="Arial"/>
            <w:color w:val="0000FF"/>
            <w:sz w:val="20"/>
            <w:szCs w:val="20"/>
          </w:rPr>
          <w:t>абзацем восьмым пункта 202</w:t>
        </w:r>
      </w:hyperlink>
      <w:r>
        <w:rPr>
          <w:rFonts w:ascii="Arial" w:hAnsi="Arial" w:cs="Arial"/>
          <w:sz w:val="20"/>
          <w:szCs w:val="20"/>
        </w:rPr>
        <w:t xml:space="preserve"> настоящего документа (при наличии).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617"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11.11.2017 N 1365; в ред. </w:t>
      </w:r>
      <w:hyperlink r:id="rId618"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22.06.2019 N 800)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Конкурсная комиссия в течение 10 рабочих дней со дня получения сведений и документов, указанных в </w:t>
      </w:r>
      <w:hyperlink w:anchor="Par1720" w:history="1">
        <w:r>
          <w:rPr>
            <w:rFonts w:ascii="Arial" w:hAnsi="Arial" w:cs="Arial"/>
            <w:color w:val="0000FF"/>
            <w:sz w:val="20"/>
            <w:szCs w:val="20"/>
          </w:rPr>
          <w:t>абзаце девятом</w:t>
        </w:r>
      </w:hyperlink>
      <w:r>
        <w:rPr>
          <w:rFonts w:ascii="Arial" w:hAnsi="Arial" w:cs="Arial"/>
          <w:sz w:val="20"/>
          <w:szCs w:val="20"/>
        </w:rPr>
        <w:t xml:space="preserve"> настоящего пункта, проводит их проверку и устанавливает факт наличия обстоятельства, предусмотренного </w:t>
      </w:r>
      <w:hyperlink w:anchor="Par1645" w:history="1">
        <w:r>
          <w:rPr>
            <w:rFonts w:ascii="Arial" w:hAnsi="Arial" w:cs="Arial"/>
            <w:color w:val="0000FF"/>
            <w:sz w:val="20"/>
            <w:szCs w:val="20"/>
          </w:rPr>
          <w:t>абзацем восьмым пункта 202</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619"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11.11.2017 N 1365)</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204 в ред. </w:t>
      </w:r>
      <w:hyperlink r:id="rId620"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30.12.2012 N 1482)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85" w:name="Par1725"/>
      <w:bookmarkEnd w:id="185"/>
      <w:r>
        <w:rPr>
          <w:rFonts w:ascii="Arial" w:hAnsi="Arial" w:cs="Arial"/>
          <w:sz w:val="20"/>
          <w:szCs w:val="20"/>
        </w:rPr>
        <w:t>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Решение уполномоченного федерального органа о присвоении статуса гарантирующего поставщика территориальной сетевой организации должно содержать:</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наименование территориальной сетевой организации, которой присваивается статус гарантирующего поставщика в соответствующем субъекте Российской Федерации в зоне деятельности организации, которая утрачивает статус гарантирующего поставщика;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621"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08.12.2018 N 1496)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наименование организации, которая утрачивает статус гарантирующего поставщика в соответствующем субъекте Российской Федерации в отношении соответствующей зоны деятельности;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622"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08.12.2018 N 1496)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дату присвоения территориальной сетевой организации статуса гарантирующего поставщика, определяемую как 1-е число месяца, следующего за месяцем, в котором уполномоченным федеральным органом было принято указанное решение в случае, если такое решение принято не позднее 25-го числа текущего месяца, и как 1-е число второго месяца, следующего за месяцем, в котором уполномоченным федеральным органом было принято указанное решение в случае, если такое решение принято после 25-го числа текущего месяца, или как дату внесения в Единый государственный реестр юридических лиц записи о ликвидации организации, которая имела статус гарантирующего поставщика (в случае, предусмотренном </w:t>
      </w:r>
      <w:hyperlink w:anchor="Par1632" w:history="1">
        <w:r>
          <w:rPr>
            <w:rFonts w:ascii="Arial" w:hAnsi="Arial" w:cs="Arial"/>
            <w:color w:val="0000FF"/>
            <w:sz w:val="20"/>
            <w:szCs w:val="20"/>
          </w:rPr>
          <w:t>пунктом 201</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срок осуществления территориальной сетевой организацией функций гарантирующего поставщика, который определяется датой вступления в силу решения о присвоении статуса гарантирующего поставщика победителю конкурса, но не может быть более 12 месяцев со дня присвоения ей статуса гарантирующего поставщика соответствующим решением.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Уполномоченный федеральный орган не позднее 3 рабочих дней со дня принятия решения о присвоении территориальной сетевой организации статуса гарантирующего поставщика публикует указанное решение на своем официальном сайте в сети "Интернет" и направляет копию указанного решения территориальной сетевой организации, которой присвоен статус гарантирующего поставщика, в </w:t>
      </w:r>
      <w:r>
        <w:rPr>
          <w:rFonts w:ascii="Arial" w:hAnsi="Arial" w:cs="Arial"/>
          <w:sz w:val="20"/>
          <w:szCs w:val="20"/>
        </w:rPr>
        <w:lastRenderedPageBreak/>
        <w:t>федеральный орган исполнительной власти в области регулирования тарифов, уполномоченный орган субъекта Российской Федерации, на территории которого располагается зона деятельности гарантирующего поставщика, совет рынка, а также в орган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Орган исполнительной власти субъекта Российской Федерации принимает решения об установлении регулируемых цен (тарифов) на следующий период регулирования для территориальной сетевой организации, которой присвоен статус гарантирующего поставщика в порядке, предусмотренном настоящим документом, с учетом положений </w:t>
      </w:r>
      <w:hyperlink r:id="rId623" w:history="1">
        <w:r>
          <w:rPr>
            <w:rFonts w:ascii="Arial" w:hAnsi="Arial" w:cs="Arial"/>
            <w:color w:val="0000FF"/>
            <w:sz w:val="20"/>
            <w:szCs w:val="20"/>
          </w:rPr>
          <w:t>пункта 18</w:t>
        </w:r>
      </w:hyperlink>
      <w:r>
        <w:rPr>
          <w:rFonts w:ascii="Arial" w:hAnsi="Arial" w:cs="Arial"/>
          <w:sz w:val="20"/>
          <w:szCs w:val="20"/>
        </w:rPr>
        <w:t xml:space="preserve"> Правил государственного регулирования (пересмотра, применения) цен (тарифов) в электроэнергетике, утвержденных постановлением Правительства Российской Федерации от 29 декабря 2011 г. N 1178.</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205 в ред. </w:t>
      </w:r>
      <w:hyperlink r:id="rId624"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30.12.2012 N 1482)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86" w:name="Par1736"/>
      <w:bookmarkEnd w:id="186"/>
      <w:r>
        <w:rPr>
          <w:rFonts w:ascii="Arial" w:hAnsi="Arial" w:cs="Arial"/>
          <w:sz w:val="20"/>
          <w:szCs w:val="20"/>
        </w:rPr>
        <w:t xml:space="preserve">206. Орган исполнительной власти субъекта Российской Федерации в области государственного регулирования тарифов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w:t>
      </w:r>
      <w:hyperlink w:anchor="Par1772" w:history="1">
        <w:r>
          <w:rPr>
            <w:rFonts w:ascii="Arial" w:hAnsi="Arial" w:cs="Arial"/>
            <w:color w:val="0000FF"/>
            <w:sz w:val="20"/>
            <w:szCs w:val="20"/>
          </w:rPr>
          <w:t>абзацах семнадцатом</w:t>
        </w:r>
      </w:hyperlink>
      <w:r>
        <w:rPr>
          <w:rFonts w:ascii="Arial" w:hAnsi="Arial" w:cs="Arial"/>
          <w:sz w:val="20"/>
          <w:szCs w:val="20"/>
        </w:rPr>
        <w:t xml:space="preserve">, </w:t>
      </w:r>
      <w:hyperlink w:anchor="Par1773" w:history="1">
        <w:r>
          <w:rPr>
            <w:rFonts w:ascii="Arial" w:hAnsi="Arial" w:cs="Arial"/>
            <w:color w:val="0000FF"/>
            <w:sz w:val="20"/>
            <w:szCs w:val="20"/>
          </w:rPr>
          <w:t>восемнадцатом</w:t>
        </w:r>
      </w:hyperlink>
      <w:r>
        <w:rPr>
          <w:rFonts w:ascii="Arial" w:hAnsi="Arial" w:cs="Arial"/>
          <w:sz w:val="20"/>
          <w:szCs w:val="20"/>
        </w:rPr>
        <w:t xml:space="preserve">, </w:t>
      </w:r>
      <w:hyperlink w:anchor="Par1778" w:history="1">
        <w:r>
          <w:rPr>
            <w:rFonts w:ascii="Arial" w:hAnsi="Arial" w:cs="Arial"/>
            <w:color w:val="0000FF"/>
            <w:sz w:val="20"/>
            <w:szCs w:val="20"/>
          </w:rPr>
          <w:t>двадцать третьем пункта 207</w:t>
        </w:r>
      </w:hyperlink>
      <w:r>
        <w:rPr>
          <w:rFonts w:ascii="Arial" w:hAnsi="Arial" w:cs="Arial"/>
          <w:sz w:val="20"/>
          <w:szCs w:val="20"/>
        </w:rPr>
        <w:t xml:space="preserve"> и </w:t>
      </w:r>
      <w:hyperlink w:anchor="Par1794" w:history="1">
        <w:r>
          <w:rPr>
            <w:rFonts w:ascii="Arial" w:hAnsi="Arial" w:cs="Arial"/>
            <w:color w:val="0000FF"/>
            <w:sz w:val="20"/>
            <w:szCs w:val="20"/>
          </w:rPr>
          <w:t>абзацем четвертым пункта 210</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625"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08.12.2018 N 1496)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Совет рынка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сведения о задолженности (на дату их формирования) у организации, имевшей статус гарантирующего поставщика и для которой наступили обстоятельства, предусмотренные </w:t>
      </w:r>
      <w:hyperlink w:anchor="Par1634" w:history="1">
        <w:r>
          <w:rPr>
            <w:rFonts w:ascii="Arial" w:hAnsi="Arial" w:cs="Arial"/>
            <w:color w:val="0000FF"/>
            <w:sz w:val="20"/>
            <w:szCs w:val="20"/>
          </w:rPr>
          <w:t>пунктом 202</w:t>
        </w:r>
      </w:hyperlink>
      <w:r>
        <w:rPr>
          <w:rFonts w:ascii="Arial" w:hAnsi="Arial" w:cs="Arial"/>
          <w:sz w:val="20"/>
          <w:szCs w:val="20"/>
        </w:rPr>
        <w:t xml:space="preserve"> настоящего документа, по оплате услуг, оказанных на оптовом рынке организациями коммерческой и технологической инфраструктуры оптового рынка, электрической энергии и мощности, приобретенных ею на оптовом рынке по договорам, по которым расчет денежных обязательств сторон производится организациями коммерческой инфраструктуры оптового рынка, а также соответствующий реестр кредиторов с разбивкой по кредиторам суммы такой задолженности.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Постановлений Правительства РФ от 11.10.2016 </w:t>
      </w:r>
      <w:hyperlink r:id="rId626" w:history="1">
        <w:r>
          <w:rPr>
            <w:rFonts w:ascii="Arial" w:hAnsi="Arial" w:cs="Arial"/>
            <w:color w:val="0000FF"/>
            <w:sz w:val="20"/>
            <w:szCs w:val="20"/>
          </w:rPr>
          <w:t>N 1030</w:t>
        </w:r>
      </w:hyperlink>
      <w:r>
        <w:rPr>
          <w:rFonts w:ascii="Arial" w:hAnsi="Arial" w:cs="Arial"/>
          <w:sz w:val="20"/>
          <w:szCs w:val="20"/>
        </w:rPr>
        <w:t xml:space="preserve">, от 22.06.2019 </w:t>
      </w:r>
      <w:hyperlink r:id="rId627" w:history="1">
        <w:r>
          <w:rPr>
            <w:rFonts w:ascii="Arial" w:hAnsi="Arial" w:cs="Arial"/>
            <w:color w:val="0000FF"/>
            <w:sz w:val="20"/>
            <w:szCs w:val="20"/>
          </w:rPr>
          <w:t>N 800</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Совет рынка обеспечивает актуализацию указанного реестра кредиторов на основании имеющихся у него сведений об уменьшении величины задолженности и (или) изменении числа кредиторов и представляет реестр кредиторов уполномоченному федеральному органу в соответствии с порядком проведения конкурса, определенным уполномоченным федеральным органом в соответствии с </w:t>
      </w:r>
      <w:hyperlink w:anchor="Par1752" w:history="1">
        <w:r>
          <w:rPr>
            <w:rFonts w:ascii="Arial" w:hAnsi="Arial" w:cs="Arial"/>
            <w:color w:val="0000FF"/>
            <w:sz w:val="20"/>
            <w:szCs w:val="20"/>
          </w:rPr>
          <w:t>пунктом 207</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628"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11.10.2016 N 1030; в ред. </w:t>
      </w:r>
      <w:hyperlink r:id="rId629"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08.12.2018 N 1496)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Уполномоченный федеральный орган на основании полученной от совета рынка информации формирует реестр кредиторов с распределением по кредиторам суммы кредиторской задолженности организации, имевшей статус гарантирующего поставщика, перед продавцами электрической энергии (мощности) на оптовом рынке, перед коммерческим оператором оптового рынка и иными организациями, на которые в соответствии с договором о присоединении к торговой системе оптового рынка советом рынка возложены функции обеспечения коммерческой инфраструктуры, перед организациями технологической инфраструктуры.</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630"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22.06.2019 N 800)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87" w:name="Par1744"/>
      <w:bookmarkEnd w:id="187"/>
      <w:r>
        <w:rPr>
          <w:rFonts w:ascii="Arial" w:hAnsi="Arial" w:cs="Arial"/>
          <w:sz w:val="20"/>
          <w:szCs w:val="20"/>
        </w:rPr>
        <w:t xml:space="preserve">В случае если решение уполномоченного федерального органа, указанное в </w:t>
      </w:r>
      <w:hyperlink w:anchor="Par1725" w:history="1">
        <w:r>
          <w:rPr>
            <w:rFonts w:ascii="Arial" w:hAnsi="Arial" w:cs="Arial"/>
            <w:color w:val="0000FF"/>
            <w:sz w:val="20"/>
            <w:szCs w:val="20"/>
          </w:rPr>
          <w:t>пункте 205</w:t>
        </w:r>
      </w:hyperlink>
      <w:r>
        <w:rPr>
          <w:rFonts w:ascii="Arial" w:hAnsi="Arial" w:cs="Arial"/>
          <w:sz w:val="20"/>
          <w:szCs w:val="20"/>
        </w:rPr>
        <w:t xml:space="preserve"> настоящего документа, о присвоении статуса гарантирующего поставщика территориальной сетевой организации принято в результате наступления обстоятельства, указанного в </w:t>
      </w:r>
      <w:hyperlink w:anchor="Par1638" w:history="1">
        <w:r>
          <w:rPr>
            <w:rFonts w:ascii="Arial" w:hAnsi="Arial" w:cs="Arial"/>
            <w:color w:val="0000FF"/>
            <w:sz w:val="20"/>
            <w:szCs w:val="20"/>
          </w:rPr>
          <w:t>абзаце четвертом пункта 202</w:t>
        </w:r>
      </w:hyperlink>
      <w:r>
        <w:rPr>
          <w:rFonts w:ascii="Arial" w:hAnsi="Arial" w:cs="Arial"/>
          <w:sz w:val="20"/>
          <w:szCs w:val="20"/>
        </w:rPr>
        <w:t xml:space="preserve"> настоящего документа, и заявителем, на основании заявления которого арбитражным судом было принято соответствующее определение, являлась сетевая организация (сетевые организации), такая сетевая организация (сетевые организации) не позднее 25 календарных дней со дня присвоения статуса гарантирующего поставщика территориальной сетевой организации направляет уполномоченному федеральному органу копию определения арбитражного суда о признании требований заявителя (заявителей) о признании гарантирующего поставщика банкротом обоснованными и о введении в отношении гарантирующего поставщика наблюдения, в котором указана сумма задолженности организации, имевшей статус гарантирующего поставщика, по оплате услуг по передаче электрической энергии перед каждым из заявителей.</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(в ред. </w:t>
      </w:r>
      <w:hyperlink r:id="rId631"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11.10.2016 N 1030)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88" w:name="Par1746"/>
      <w:bookmarkEnd w:id="188"/>
      <w:r>
        <w:rPr>
          <w:rFonts w:ascii="Arial" w:hAnsi="Arial" w:cs="Arial"/>
          <w:sz w:val="20"/>
          <w:szCs w:val="20"/>
        </w:rPr>
        <w:t xml:space="preserve">В случае, указанном в </w:t>
      </w:r>
      <w:hyperlink w:anchor="Par1744" w:history="1">
        <w:r>
          <w:rPr>
            <w:rFonts w:ascii="Arial" w:hAnsi="Arial" w:cs="Arial"/>
            <w:color w:val="0000FF"/>
            <w:sz w:val="20"/>
            <w:szCs w:val="20"/>
          </w:rPr>
          <w:t>абзаце пятом</w:t>
        </w:r>
      </w:hyperlink>
      <w:r>
        <w:rPr>
          <w:rFonts w:ascii="Arial" w:hAnsi="Arial" w:cs="Arial"/>
          <w:sz w:val="20"/>
          <w:szCs w:val="20"/>
        </w:rPr>
        <w:t xml:space="preserve"> настоящего пункта, уполномоченный федеральный орган включает в реестр кредиторов только сетевые организации, на основании заявления которых арбитражным судом было принято соответствующее определение, с указанием задолженности перед каждой такой сетевой организацией по информации, полученной уполномоченным федеральным органом в соответствии с </w:t>
      </w:r>
      <w:hyperlink w:anchor="Par1744" w:history="1">
        <w:r>
          <w:rPr>
            <w:rFonts w:ascii="Arial" w:hAnsi="Arial" w:cs="Arial"/>
            <w:color w:val="0000FF"/>
            <w:sz w:val="20"/>
            <w:szCs w:val="20"/>
          </w:rPr>
          <w:t>абзацем пятым</w:t>
        </w:r>
      </w:hyperlink>
      <w:r>
        <w:rPr>
          <w:rFonts w:ascii="Arial" w:hAnsi="Arial" w:cs="Arial"/>
          <w:sz w:val="20"/>
          <w:szCs w:val="20"/>
        </w:rPr>
        <w:t xml:space="preserve"> настоящего пункта.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632"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11.10.2016 N 1030)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Указанный в </w:t>
      </w:r>
      <w:hyperlink w:anchor="Par1746" w:history="1">
        <w:r>
          <w:rPr>
            <w:rFonts w:ascii="Arial" w:hAnsi="Arial" w:cs="Arial"/>
            <w:color w:val="0000FF"/>
            <w:sz w:val="20"/>
            <w:szCs w:val="20"/>
          </w:rPr>
          <w:t>абзаце шестом</w:t>
        </w:r>
      </w:hyperlink>
      <w:r>
        <w:rPr>
          <w:rFonts w:ascii="Arial" w:hAnsi="Arial" w:cs="Arial"/>
          <w:sz w:val="20"/>
          <w:szCs w:val="20"/>
        </w:rPr>
        <w:t xml:space="preserve"> настоящего пункта реестр кредиторов актуализируется уполномоченным федеральным органом в сроки и порядке, которые предусмотрены порядком проведения конкурса, определенным уполномоченным федеральным органом в соответствии с </w:t>
      </w:r>
      <w:hyperlink w:anchor="Par1752" w:history="1">
        <w:r>
          <w:rPr>
            <w:rFonts w:ascii="Arial" w:hAnsi="Arial" w:cs="Arial"/>
            <w:color w:val="0000FF"/>
            <w:sz w:val="20"/>
            <w:szCs w:val="20"/>
          </w:rPr>
          <w:t>пунктом 207</w:t>
        </w:r>
      </w:hyperlink>
      <w:r>
        <w:rPr>
          <w:rFonts w:ascii="Arial" w:hAnsi="Arial" w:cs="Arial"/>
          <w:sz w:val="20"/>
          <w:szCs w:val="20"/>
        </w:rPr>
        <w:t xml:space="preserve"> настоящего документа, на основании сведений о задолженности заменяемого гарантирующего поставщика перед сетевыми организациями, указанными в </w:t>
      </w:r>
      <w:hyperlink w:anchor="Par1746" w:history="1">
        <w:r>
          <w:rPr>
            <w:rFonts w:ascii="Arial" w:hAnsi="Arial" w:cs="Arial"/>
            <w:color w:val="0000FF"/>
            <w:sz w:val="20"/>
            <w:szCs w:val="20"/>
          </w:rPr>
          <w:t>абзаце шестом</w:t>
        </w:r>
      </w:hyperlink>
      <w:r>
        <w:rPr>
          <w:rFonts w:ascii="Arial" w:hAnsi="Arial" w:cs="Arial"/>
          <w:sz w:val="20"/>
          <w:szCs w:val="20"/>
        </w:rPr>
        <w:t xml:space="preserve"> настоящего пункта, предоставляемых такими сетевыми организациями, в размере, определяемом в соответствии с Федеральным </w:t>
      </w:r>
      <w:hyperlink r:id="rId633" w:history="1">
        <w:r>
          <w:rPr>
            <w:rFonts w:ascii="Arial" w:hAnsi="Arial" w:cs="Arial"/>
            <w:color w:val="0000FF"/>
            <w:sz w:val="20"/>
            <w:szCs w:val="20"/>
          </w:rPr>
          <w:t>законом</w:t>
        </w:r>
      </w:hyperlink>
      <w:r>
        <w:rPr>
          <w:rFonts w:ascii="Arial" w:hAnsi="Arial" w:cs="Arial"/>
          <w:sz w:val="20"/>
          <w:szCs w:val="20"/>
        </w:rPr>
        <w:t xml:space="preserve"> "О несостоятельности (банкротстве)".</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634"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11.10.2016 N 1030; в ред. </w:t>
      </w:r>
      <w:hyperlink r:id="rId635"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08.12.2018 N 1496)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89" w:name="Par1750"/>
      <w:bookmarkEnd w:id="189"/>
      <w:r>
        <w:rPr>
          <w:rFonts w:ascii="Arial" w:hAnsi="Arial" w:cs="Arial"/>
          <w:sz w:val="20"/>
          <w:szCs w:val="20"/>
        </w:rPr>
        <w:t>Конкурс на присвоение статуса гарантирующего поставщика проводится уполномоченным федеральным органом при участии конкурсной комиссии, сформированной в порядке, определенном настоящим документом.</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206 в ред. </w:t>
      </w:r>
      <w:hyperlink r:id="rId636"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30.12.2012 N 1482)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90" w:name="Par1752"/>
      <w:bookmarkEnd w:id="190"/>
      <w:r>
        <w:rPr>
          <w:rFonts w:ascii="Arial" w:hAnsi="Arial" w:cs="Arial"/>
          <w:sz w:val="20"/>
          <w:szCs w:val="20"/>
        </w:rPr>
        <w:t>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наименование территориальной сетевой организации, которая осуществляет функции гарантирующего поставщика в соответствующем субъекте Российской Федерации и в отношении зоны деятельности которой проводится конкурс;</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637"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08.12.2018 N 1496)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порядок проведения конкурса, определенным уполномоченным федеральным органом;</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Постановлений Правительства РФ от 11.10.2016 </w:t>
      </w:r>
      <w:hyperlink r:id="rId638" w:history="1">
        <w:r>
          <w:rPr>
            <w:rFonts w:ascii="Arial" w:hAnsi="Arial" w:cs="Arial"/>
            <w:color w:val="0000FF"/>
            <w:sz w:val="20"/>
            <w:szCs w:val="20"/>
          </w:rPr>
          <w:t>N 1030</w:t>
        </w:r>
      </w:hyperlink>
      <w:r>
        <w:rPr>
          <w:rFonts w:ascii="Arial" w:hAnsi="Arial" w:cs="Arial"/>
          <w:sz w:val="20"/>
          <w:szCs w:val="20"/>
        </w:rPr>
        <w:t xml:space="preserve">, от 08.12.2018 </w:t>
      </w:r>
      <w:hyperlink r:id="rId639" w:history="1">
        <w:r>
          <w:rPr>
            <w:rFonts w:ascii="Arial" w:hAnsi="Arial" w:cs="Arial"/>
            <w:color w:val="0000FF"/>
            <w:sz w:val="20"/>
            <w:szCs w:val="20"/>
          </w:rPr>
          <w:t>N 1496</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требования, предъявляемые к заявителю о соответствии следующим условиям в совокупности: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91" w:name="Par1758"/>
      <w:bookmarkEnd w:id="191"/>
      <w:r>
        <w:rPr>
          <w:rFonts w:ascii="Arial" w:hAnsi="Arial" w:cs="Arial"/>
          <w:sz w:val="20"/>
          <w:szCs w:val="20"/>
        </w:rPr>
        <w:t>заявитель является участником оптового рынка;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92" w:name="Par1759"/>
      <w:bookmarkEnd w:id="192"/>
      <w:r>
        <w:rPr>
          <w:rFonts w:ascii="Arial" w:hAnsi="Arial" w:cs="Arial"/>
          <w:sz w:val="20"/>
          <w:szCs w:val="20"/>
        </w:rPr>
        <w:t>собственный капитал заявителя составляет не менее 20 процентов среднемесячной стоимости электрической энергии (мощности), приобретаемой потребителями (покупателями) на розничном рынке у заменяемого гарантирующего поставщика, или заявителем заключен договор банковской гарантии в соответствии с договором о присоединении к торговой системе оптового рынка с суммой покрытия, аналогичной указанному размеру собственного капитала;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640"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11.10.2016 N 1030)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93" w:name="Par1761"/>
      <w:bookmarkEnd w:id="193"/>
      <w:r>
        <w:rPr>
          <w:rFonts w:ascii="Arial" w:hAnsi="Arial" w:cs="Arial"/>
          <w:sz w:val="20"/>
          <w:szCs w:val="20"/>
        </w:rPr>
        <w:t xml:space="preserve">показатели финансового состояния заявителя соответствуют значениям показателей финансового состояния гарантирующего поставщика, предусмотренным </w:t>
      </w:r>
      <w:hyperlink w:anchor="Par2569" w:history="1">
        <w:r>
          <w:rPr>
            <w:rFonts w:ascii="Arial" w:hAnsi="Arial" w:cs="Arial"/>
            <w:color w:val="0000FF"/>
            <w:sz w:val="20"/>
            <w:szCs w:val="20"/>
          </w:rPr>
          <w:t>приложением N 1</w:t>
        </w:r>
      </w:hyperlink>
      <w:r>
        <w:rPr>
          <w:rFonts w:ascii="Arial" w:hAnsi="Arial" w:cs="Arial"/>
          <w:sz w:val="20"/>
          <w:szCs w:val="20"/>
        </w:rPr>
        <w:t xml:space="preserve"> к настоящему документу;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течение 1 года до дня подачи заявки на участие в конкурсе в отношении претендента на участие в конкурсе не проводились процедуры, применяемые в деле о банкротстве, в том числе введение наблюдения, финансового оздоровления, внешнего управления, признание должника банкротом и открытие конкурсного производства;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заявка участника соответствует требованиям, указанным в порядке проведения конкурса, а также требованиям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94" w:name="Par1764"/>
      <w:bookmarkEnd w:id="194"/>
      <w:r>
        <w:rPr>
          <w:rFonts w:ascii="Arial" w:hAnsi="Arial" w:cs="Arial"/>
          <w:sz w:val="20"/>
          <w:szCs w:val="20"/>
        </w:rPr>
        <w:t>заявитель не является сетевой организацией, организацией в границах одной ценовой зоны оптового рынка, имеющей одновременно на праве собственности или ином законном основании имущество, непосредственно используемое при осуществлении деятельности по передаче электрической энергии и (или) оперативно-диспетчерскому управлению в электроэнергетике, либо аффилированным лицом такой организации;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заявитель на дату проведения конкурса и в течение 3 лет, предшествующих дате проведения конкурса, не был включен в реестр недобросовестных участников конкурсов;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95" w:name="Par1766"/>
      <w:bookmarkEnd w:id="195"/>
      <w:r>
        <w:rPr>
          <w:rFonts w:ascii="Arial" w:hAnsi="Arial" w:cs="Arial"/>
          <w:sz w:val="20"/>
          <w:szCs w:val="20"/>
        </w:rPr>
        <w:t xml:space="preserve">общая сумма кредиторской задолженности заменяемого гарантирующего поставщика согласно реестру кредиторов, сформированному в соответствии с </w:t>
      </w:r>
      <w:hyperlink w:anchor="Par1750" w:history="1">
        <w:r>
          <w:rPr>
            <w:rFonts w:ascii="Arial" w:hAnsi="Arial" w:cs="Arial"/>
            <w:color w:val="0000FF"/>
            <w:sz w:val="20"/>
            <w:szCs w:val="20"/>
          </w:rPr>
          <w:t>пунктом 206</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641"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11.10.2016 N 1030)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96" w:name="Par1768"/>
      <w:bookmarkEnd w:id="196"/>
      <w:r>
        <w:rPr>
          <w:rFonts w:ascii="Arial" w:hAnsi="Arial" w:cs="Arial"/>
          <w:sz w:val="20"/>
          <w:szCs w:val="20"/>
        </w:rPr>
        <w:t xml:space="preserve">требования к минимальному размеру денежных средств, не менее которого участник конкурса обязан указать в заявке в качестве суммы, которую он будет обязан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суммы задолженности, указанной в реестре кредиторов, сформированном уполномоченным федеральным органом в соответствии с </w:t>
      </w:r>
      <w:hyperlink w:anchor="Par1736" w:history="1">
        <w:r>
          <w:rPr>
            <w:rFonts w:ascii="Arial" w:hAnsi="Arial" w:cs="Arial"/>
            <w:color w:val="0000FF"/>
            <w:sz w:val="20"/>
            <w:szCs w:val="20"/>
          </w:rPr>
          <w:t>пунктом 206</w:t>
        </w:r>
      </w:hyperlink>
      <w:r>
        <w:rPr>
          <w:rFonts w:ascii="Arial" w:hAnsi="Arial" w:cs="Arial"/>
          <w:sz w:val="20"/>
          <w:szCs w:val="20"/>
        </w:rPr>
        <w:t xml:space="preserve"> настоящего документа, а также требование о распределении указываемых средств пропорционально величине задолженности перед каждым кредитором;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97" w:name="Par1769"/>
      <w:bookmarkEnd w:id="197"/>
      <w:r>
        <w:rPr>
          <w:rFonts w:ascii="Arial" w:hAnsi="Arial" w:cs="Arial"/>
          <w:sz w:val="20"/>
          <w:szCs w:val="20"/>
        </w:rPr>
        <w:t>требования к порядку и срокам направления победителем конкурса денежных средств в счет уступки требований кредиторов заменяемого гарантирующего поставщика при соблюдении следующих условий: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если срок, на который территориальной сетевой организации присвоен статус гарантирующего поставщика, определен календарной датой и кредитором принято соответствующее предложение победителя конкурса об уступке прав требования ранее 4 месяцев до даты истечения указанного срока, победитель конкурса обязан направить 100 процентов указанного в его заявке размера денежных средств, направляемых кредиторам в счет уступки требований по оплате суммы задолженности (части суммы задолженности), указанной в реестре кредиторов, сформированном уполномоченным федеральным органом в соответствии с </w:t>
      </w:r>
      <w:hyperlink w:anchor="Par1736" w:history="1">
        <w:r>
          <w:rPr>
            <w:rFonts w:ascii="Arial" w:hAnsi="Arial" w:cs="Arial"/>
            <w:color w:val="0000FF"/>
            <w:sz w:val="20"/>
            <w:szCs w:val="20"/>
          </w:rPr>
          <w:t>пунктом 206</w:t>
        </w:r>
      </w:hyperlink>
      <w:r>
        <w:rPr>
          <w:rFonts w:ascii="Arial" w:hAnsi="Arial" w:cs="Arial"/>
          <w:sz w:val="20"/>
          <w:szCs w:val="20"/>
        </w:rPr>
        <w:t xml:space="preserve"> настоящего документа, не позднее 3 месяцев до даты истечения срока, на который территориальной сетевой организации присвоен статус гарантирующего поставщика в соответствующей зоне деятельности;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если срок, на который территориальной сетевой организации присвоен статус гарантирующего поставщика, не определен календарной датой и (или) кредитором принято соответствующее предложение победителя конкурса об уступке прав требования позднее 4 месяцев до даты истечения указанного срока, победитель конкурса обязан направить 100 процентов указанного в его заявке размера денежных средств, направляемых кредиторам в счет уступки требований по оплате суммы задолженности (части суммы задолженности), указанной в реестре кредиторов, сформированном уполномоченным федеральным органом в соответствии с </w:t>
      </w:r>
      <w:hyperlink w:anchor="Par1736" w:history="1">
        <w:r>
          <w:rPr>
            <w:rFonts w:ascii="Arial" w:hAnsi="Arial" w:cs="Arial"/>
            <w:color w:val="0000FF"/>
            <w:sz w:val="20"/>
            <w:szCs w:val="20"/>
          </w:rPr>
          <w:t>пунктом 206</w:t>
        </w:r>
      </w:hyperlink>
      <w:r>
        <w:rPr>
          <w:rFonts w:ascii="Arial" w:hAnsi="Arial" w:cs="Arial"/>
          <w:sz w:val="20"/>
          <w:szCs w:val="20"/>
        </w:rPr>
        <w:t xml:space="preserve"> настоящего документа, в течение 10 рабочих дней со дня акцепта соответствующим кредитором предложения, полученного от победителя конкурса;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98" w:name="Par1772"/>
      <w:bookmarkEnd w:id="198"/>
      <w:r>
        <w:rPr>
          <w:rFonts w:ascii="Arial" w:hAnsi="Arial" w:cs="Arial"/>
          <w:sz w:val="20"/>
          <w:szCs w:val="20"/>
        </w:rPr>
        <w:t>уровень необходимой валовой выручки, учтенной при установлении в текущем периоде регулирования сбытовой надбавки для заменяемого гарантирующего поставщика, и (или) уровень сбытовой надбавки гарантирующего поставщика в соответствии с данными, полученными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199" w:name="Par1773"/>
      <w:bookmarkEnd w:id="199"/>
      <w:r>
        <w:rPr>
          <w:rFonts w:ascii="Arial" w:hAnsi="Arial" w:cs="Arial"/>
          <w:sz w:val="20"/>
          <w:szCs w:val="20"/>
        </w:rPr>
        <w:t>минимальный и максимальный уровни необходимой валовой выручки и (или) сбытовой надбавки гарантирующего поставщика, в рамках которых в заявке на участие в конкурсе допустимо указывать уровень необходимой валовой выручки и (или) сбытовой надбавки, в соответствии с данными, полученными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адрес, по которому осуществляется прием заявок на участие в конкурсе;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перечень документов, представляемых для участия в конкурсе;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форма заявки на участие в конкурсе;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срок начала приема заявок на участие в конкурсе, который должен начаться не позднее 5 дней со дня опубликования решения о проведении конкурса в соответствии с </w:t>
      </w:r>
      <w:hyperlink w:anchor="Par1782" w:history="1">
        <w:r>
          <w:rPr>
            <w:rFonts w:ascii="Arial" w:hAnsi="Arial" w:cs="Arial"/>
            <w:color w:val="0000FF"/>
            <w:sz w:val="20"/>
            <w:szCs w:val="20"/>
          </w:rPr>
          <w:t>пунктом 208</w:t>
        </w:r>
      </w:hyperlink>
      <w:r>
        <w:rPr>
          <w:rFonts w:ascii="Arial" w:hAnsi="Arial" w:cs="Arial"/>
          <w:sz w:val="20"/>
          <w:szCs w:val="20"/>
        </w:rPr>
        <w:t xml:space="preserve"> настоящего документа, и срок окончания приема заявок на участие в конкурсе, который должен истекать не позднее 20 дней со дня опубликования решения о проведении конкурса, а также дату подведения итогов конкурса (далее - дата проведения конкурса);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00" w:name="Par1778"/>
      <w:bookmarkEnd w:id="200"/>
      <w:r>
        <w:rPr>
          <w:rFonts w:ascii="Arial" w:hAnsi="Arial" w:cs="Arial"/>
          <w:sz w:val="20"/>
          <w:szCs w:val="20"/>
        </w:rPr>
        <w:lastRenderedPageBreak/>
        <w:t>среднемесячная стоимость приобретаемой потребителями (покупателями) на розничном рынке у заменяемого гарантирующего поставщика электрической энергии (мощности), определяемая органом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за предшествующие 4 квартала.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642"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08.12.2018 N 1496)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Информация, предусмотренная </w:t>
      </w:r>
      <w:hyperlink w:anchor="Par1766" w:history="1">
        <w:r>
          <w:rPr>
            <w:rFonts w:ascii="Arial" w:hAnsi="Arial" w:cs="Arial"/>
            <w:color w:val="0000FF"/>
            <w:sz w:val="20"/>
            <w:szCs w:val="20"/>
          </w:rPr>
          <w:t>абзацами двенадцатым</w:t>
        </w:r>
      </w:hyperlink>
      <w:r>
        <w:rPr>
          <w:rFonts w:ascii="Arial" w:hAnsi="Arial" w:cs="Arial"/>
          <w:sz w:val="20"/>
          <w:szCs w:val="20"/>
        </w:rPr>
        <w:t xml:space="preserve"> и </w:t>
      </w:r>
      <w:hyperlink w:anchor="Par1768" w:history="1">
        <w:r>
          <w:rPr>
            <w:rFonts w:ascii="Arial" w:hAnsi="Arial" w:cs="Arial"/>
            <w:color w:val="0000FF"/>
            <w:sz w:val="20"/>
            <w:szCs w:val="20"/>
          </w:rPr>
          <w:t>тринадцатым</w:t>
        </w:r>
      </w:hyperlink>
      <w:r>
        <w:rPr>
          <w:rFonts w:ascii="Arial" w:hAnsi="Arial" w:cs="Arial"/>
          <w:sz w:val="20"/>
          <w:szCs w:val="20"/>
        </w:rPr>
        <w:t xml:space="preserve"> настоящего пункта, указывается в соответствии с обязательствами, возникшими в связи с исполнением лицом, имеющим статус гарантирующего поставщика, функций гарантирующего поставщика в границах той зоны деятельности, в отношении которой проводится конкурс.</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207 в ред. </w:t>
      </w:r>
      <w:hyperlink r:id="rId643"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30.12.2012 N 1482)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01" w:name="Par1782"/>
      <w:bookmarkEnd w:id="201"/>
      <w:r>
        <w:rPr>
          <w:rFonts w:ascii="Arial" w:hAnsi="Arial" w:cs="Arial"/>
          <w:sz w:val="20"/>
          <w:szCs w:val="20"/>
        </w:rPr>
        <w:t>208. Уполномоченный федеральный орган не позднее 3 рабочих дней со дня принятия решения о проведении конкурса публикует указанное решение, а также сведения о должностных лицах, уполномоченных давать разъяснения об условиях проведения конкурса (фамилия, имя и отчество, должность, адрес электронной почты и номер контактного телефона), на своем официальном сайте в сети "Интернет", а также направляет копии указанного решения в федеральный антимонопольный орган и уполномоченный орган субъекта Российской Федерации, на территории которого располагается зона деятельности заменяемого гарантирующего поставщика.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Постановлений Правительства РФ от 30.12.2012 </w:t>
      </w:r>
      <w:hyperlink r:id="rId644" w:history="1">
        <w:r>
          <w:rPr>
            <w:rFonts w:ascii="Arial" w:hAnsi="Arial" w:cs="Arial"/>
            <w:color w:val="0000FF"/>
            <w:sz w:val="20"/>
            <w:szCs w:val="20"/>
          </w:rPr>
          <w:t>N 1482</w:t>
        </w:r>
      </w:hyperlink>
      <w:r>
        <w:rPr>
          <w:rFonts w:ascii="Arial" w:hAnsi="Arial" w:cs="Arial"/>
          <w:sz w:val="20"/>
          <w:szCs w:val="20"/>
        </w:rPr>
        <w:t xml:space="preserve">, от 04.09.2015 </w:t>
      </w:r>
      <w:hyperlink r:id="rId645" w:history="1">
        <w:r>
          <w:rPr>
            <w:rFonts w:ascii="Arial" w:hAnsi="Arial" w:cs="Arial"/>
            <w:color w:val="0000FF"/>
            <w:sz w:val="20"/>
            <w:szCs w:val="20"/>
          </w:rPr>
          <w:t>N 941</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209. Дата проведения конкурса не может быть определена ранее 1-го дня квартала, следующего за кварталом, в котором принято решение о проведении конкурса, в случае если гарантирующий поставщик является получателем средств, предоставляемых за счет субсидий на ликвидацию межтерриториального перекрестного субсидирования в электроэнергетике (являлся получателем таких средств в предыдущем периоде регулирования), и к моменту наступления обстоятельств, предусмотренных </w:t>
      </w:r>
      <w:hyperlink w:anchor="Par1634" w:history="1">
        <w:r>
          <w:rPr>
            <w:rFonts w:ascii="Arial" w:hAnsi="Arial" w:cs="Arial"/>
            <w:color w:val="0000FF"/>
            <w:sz w:val="20"/>
            <w:szCs w:val="20"/>
          </w:rPr>
          <w:t>пунктом 202</w:t>
        </w:r>
      </w:hyperlink>
      <w:r>
        <w:rPr>
          <w:rFonts w:ascii="Arial" w:hAnsi="Arial" w:cs="Arial"/>
          <w:sz w:val="20"/>
          <w:szCs w:val="20"/>
        </w:rPr>
        <w:t xml:space="preserve"> настоящего документа, не определен размер средств, причитающихся гарантирующему поставщику за счет указанных субсидий в текущем периоде регулирования, или средства, причитающиеся гарантирующему поставщику за счет указанных субсидий в текущем периоде регулирования, не поступили в адрес такого гарантирующего поставщика полностью или частично.</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сохранении указанного условия к наступлению срока проведения конкурса уполномоченный федеральный орган принимает решение об изменении даты проведения конкурса на 1-й день следующего квартала.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Уполномоченный федеральный орган не позднее 3 рабочих дней, следующих за днем принятия решения об изменении даты проведения конкурса, публикует указанное решение на своем официальном сайте в сети "Интернет", а также направляет копии указанного решения в федеральный антимонопольный орган и уполномоченный орган субъекта Российской Федерации, на территории которого располагается зона деятельности заменяемого гарантирующего поставщика.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646"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04.09.2015 N 941)</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209 в ред. </w:t>
      </w:r>
      <w:hyperlink r:id="rId647"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30.12.2012 N 1482)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02" w:name="Par1789"/>
      <w:bookmarkEnd w:id="202"/>
      <w:r>
        <w:rPr>
          <w:rFonts w:ascii="Arial" w:hAnsi="Arial" w:cs="Arial"/>
          <w:sz w:val="20"/>
          <w:szCs w:val="20"/>
        </w:rPr>
        <w:t xml:space="preserve">210. Уполномоченный федеральный орган формирует конкурсную комиссию (с назначением председателя конкурсной комиссии) в целях установления факта наличия обстоятельства, предусмотренного </w:t>
      </w:r>
      <w:hyperlink w:anchor="Par1645" w:history="1">
        <w:r>
          <w:rPr>
            <w:rFonts w:ascii="Arial" w:hAnsi="Arial" w:cs="Arial"/>
            <w:color w:val="0000FF"/>
            <w:sz w:val="20"/>
            <w:szCs w:val="20"/>
          </w:rPr>
          <w:t>абзацем восьмым пункта 202</w:t>
        </w:r>
      </w:hyperlink>
      <w:r>
        <w:rPr>
          <w:rFonts w:ascii="Arial" w:hAnsi="Arial" w:cs="Arial"/>
          <w:sz w:val="20"/>
          <w:szCs w:val="20"/>
        </w:rPr>
        <w:t xml:space="preserve"> настоящего документа, и проведения конкурса на присвоение статуса гарантирующего поставщика.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648"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11.11.2017 N 1365)</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состав конкурсной комиссии включаются не менее чем по 2 представителя уполномоченного федерального органа, федерального антимонопольного органа,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уполномоченного органа субъекта Российской Федерации, на территории которого располагается зона деятельности заменяемого гарантирующего поставщика (по 2 представителя от уполномоченных органов каждого субъекта Российской Федерации в случае расположения зоны деятельности гарантирующего поставщика на территории более чем 1 субъекта Российской Федерации).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Постановлений Правительства РФ от 04.09.2015 </w:t>
      </w:r>
      <w:hyperlink r:id="rId649" w:history="1">
        <w:r>
          <w:rPr>
            <w:rFonts w:ascii="Arial" w:hAnsi="Arial" w:cs="Arial"/>
            <w:color w:val="0000FF"/>
            <w:sz w:val="20"/>
            <w:szCs w:val="20"/>
          </w:rPr>
          <w:t>N 941</w:t>
        </w:r>
      </w:hyperlink>
      <w:r>
        <w:rPr>
          <w:rFonts w:ascii="Arial" w:hAnsi="Arial" w:cs="Arial"/>
          <w:sz w:val="20"/>
          <w:szCs w:val="20"/>
        </w:rPr>
        <w:t xml:space="preserve">, от 11.11.2017 </w:t>
      </w:r>
      <w:hyperlink r:id="rId650" w:history="1">
        <w:r>
          <w:rPr>
            <w:rFonts w:ascii="Arial" w:hAnsi="Arial" w:cs="Arial"/>
            <w:color w:val="0000FF"/>
            <w:sz w:val="20"/>
            <w:szCs w:val="20"/>
          </w:rPr>
          <w:t>N 1365</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Абзац утратил силу. - </w:t>
      </w:r>
      <w:hyperlink r:id="rId651" w:history="1">
        <w:r>
          <w:rPr>
            <w:rFonts w:ascii="Arial" w:hAnsi="Arial" w:cs="Arial"/>
            <w:color w:val="0000FF"/>
            <w:sz w:val="20"/>
            <w:szCs w:val="20"/>
          </w:rPr>
          <w:t>Постановление</w:t>
        </w:r>
      </w:hyperlink>
      <w:r>
        <w:rPr>
          <w:rFonts w:ascii="Arial" w:hAnsi="Arial" w:cs="Arial"/>
          <w:sz w:val="20"/>
          <w:szCs w:val="20"/>
        </w:rPr>
        <w:t xml:space="preserve"> Правительства РФ от 08.12.2018 N 1496.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03" w:name="Par1794"/>
      <w:bookmarkEnd w:id="203"/>
      <w:r>
        <w:rPr>
          <w:rFonts w:ascii="Arial" w:hAnsi="Arial" w:cs="Arial"/>
          <w:sz w:val="20"/>
          <w:szCs w:val="20"/>
        </w:rPr>
        <w:t>Федеральный антимонопольный орган, федеральный орган исполнительной власти, осуществляющий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уполномоченный орган субъекта Российской Федерации (уполномоченные органы субъектов Российской Федерации) направляют не позднее чем в течение 5 рабочих дней со дня опубликования решения о проведении конкурса информацию с указанием кандидатур для включения в состав конкурсной комиссии.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652"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08.12.2018 N 1496)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если федеральные органы исполнительной власти и (или) уполномоченный орган субъекта Российской Федерации (уполномоченные органы субъектов Российской Федерации) в срок, указанный в </w:t>
      </w:r>
      <w:hyperlink w:anchor="Par1794" w:history="1">
        <w:r>
          <w:rPr>
            <w:rFonts w:ascii="Arial" w:hAnsi="Arial" w:cs="Arial"/>
            <w:color w:val="0000FF"/>
            <w:sz w:val="20"/>
            <w:szCs w:val="20"/>
          </w:rPr>
          <w:t>абзаце четвертом</w:t>
        </w:r>
      </w:hyperlink>
      <w:r>
        <w:rPr>
          <w:rFonts w:ascii="Arial" w:hAnsi="Arial" w:cs="Arial"/>
          <w:sz w:val="20"/>
          <w:szCs w:val="20"/>
        </w:rPr>
        <w:t xml:space="preserve"> настоящего пункта, не представили в уполномоченный федеральный орган кандидатуры для включения в состав конкурсной комиссии, уполномоченный федеральный орган формирует конкурсную комиссию с включением в нее представителей федеральных органов исполнительной власти, которые ранее участвовали в проведении конкурса, без включения в нее представителей указанных органов субъектов Российской Федерации.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653"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08.12.2018 N 1496)</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210 в ред. </w:t>
      </w:r>
      <w:hyperlink r:id="rId654"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30.12.2012 N 1482)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04" w:name="Par1799"/>
      <w:bookmarkEnd w:id="204"/>
      <w:r>
        <w:rPr>
          <w:rFonts w:ascii="Arial" w:hAnsi="Arial" w:cs="Arial"/>
          <w:sz w:val="20"/>
          <w:szCs w:val="20"/>
        </w:rPr>
        <w:t>211. В заседаниях конкурсной комиссии в качестве наблюдателей имеют право участвовать представители иных органов и организаций (в том числе совета рынка, некоммерческих организаций, объединяющих субъекты розничных рынков, и (или) потребителей электрической энергии, и (или) производителей электрической энергии (мощности), территориальные сетевые организации, оказывающие услуги на данной территории), а также представители кредиторов заменяемого гарантирующего поставщика.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655" w:history="1">
        <w:r>
          <w:rPr>
            <w:rFonts w:ascii="Arial" w:hAnsi="Arial" w:cs="Arial"/>
            <w:color w:val="0000FF"/>
            <w:sz w:val="20"/>
            <w:szCs w:val="20"/>
          </w:rPr>
          <w:t>Положение</w:t>
        </w:r>
      </w:hyperlink>
      <w:r>
        <w:rPr>
          <w:rFonts w:ascii="Arial" w:hAnsi="Arial" w:cs="Arial"/>
          <w:sz w:val="20"/>
          <w:szCs w:val="20"/>
        </w:rPr>
        <w:t xml:space="preserve"> о конкурсной комиссии и ее состав утверждаются уполномоченным федеральным органом и публикуются на официальном сайте уполномоченного федерального органа в сети "Интернет".</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211 в ред. </w:t>
      </w:r>
      <w:hyperlink r:id="rId656"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30.12.2012 N 1482)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212. Участником конкурса может быть любая коммерческая организация независимо от организационно-правовой формы, за исключением территориальной сетевой организации, организации по управлению единой национальной (общероссийской) электрической сетью и организации (аффилированного лица такой организации) в границах одной ценовой зоны оптового рынка, владеющей на праве собственности или ином законном основании одновременно имуществом, непосредственно используемым при осуществлении деятельности по передаче электрической энергии и (или) оперативно-диспетчерскому управлению в электроэнергетике, в случаях, когда </w:t>
      </w:r>
      <w:hyperlink r:id="rId657"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 запрещено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212 в ред. </w:t>
      </w:r>
      <w:hyperlink r:id="rId658"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11.10.2016 N 1030)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213. Для участия в конкурсе заявители направляют в уполномоченный федеральный орган заявки на участие в конкурсе, содержащие наименование заявителя, место его нахождения, идентификационный номер налогоплательщика, государственный регистрационный номер записи о государственной регистрации заявителя, с приложением следующих документов: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05" w:name="Par1805"/>
      <w:bookmarkEnd w:id="205"/>
      <w:r>
        <w:rPr>
          <w:rFonts w:ascii="Arial" w:hAnsi="Arial" w:cs="Arial"/>
          <w:sz w:val="20"/>
          <w:szCs w:val="20"/>
        </w:rPr>
        <w:t>выписка из реестра субъектов оптового рынка с указанием вида деятельности, в целях осуществления которого заявитель участвует в торговле электрической энергией и мощностью на оптовом рынке (типа субъекта оптового рынка, к которому относится заявитель в соответствии с договором о присоединении к торговой системе оптового рынка), выданная советом рынка;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06" w:name="Par1806"/>
      <w:bookmarkEnd w:id="206"/>
      <w:r>
        <w:rPr>
          <w:rFonts w:ascii="Arial" w:hAnsi="Arial" w:cs="Arial"/>
          <w:sz w:val="20"/>
          <w:szCs w:val="20"/>
        </w:rPr>
        <w:t xml:space="preserve">документы, подтверждающие величину собственного капитала заявителя, или заключенный заявителем договор банковской гарантии в соответствии с договором о присоединении к торговой системе оптового рынка с суммой покрытия, аналогичной размеру собственного капитала, необходимого для участия в конкурсе на присвоение статуса гарантирующего поставщика в соответствии с </w:t>
      </w:r>
      <w:hyperlink w:anchor="Par1752" w:history="1">
        <w:r>
          <w:rPr>
            <w:rFonts w:ascii="Arial" w:hAnsi="Arial" w:cs="Arial"/>
            <w:color w:val="0000FF"/>
            <w:sz w:val="20"/>
            <w:szCs w:val="20"/>
          </w:rPr>
          <w:t>пунктом 207</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659"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11.10.2016 N 1030)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расчет показателей финансового состояния заявителя в соответствии с </w:t>
      </w:r>
      <w:hyperlink w:anchor="Par2569" w:history="1">
        <w:r>
          <w:rPr>
            <w:rFonts w:ascii="Arial" w:hAnsi="Arial" w:cs="Arial"/>
            <w:color w:val="0000FF"/>
            <w:sz w:val="20"/>
            <w:szCs w:val="20"/>
          </w:rPr>
          <w:t>приложением N 1</w:t>
        </w:r>
      </w:hyperlink>
      <w:r>
        <w:rPr>
          <w:rFonts w:ascii="Arial" w:hAnsi="Arial" w:cs="Arial"/>
          <w:sz w:val="20"/>
          <w:szCs w:val="20"/>
        </w:rPr>
        <w:t xml:space="preserve"> к настоящему документу по результатам последнего отчетного периода, предшествующего дате подачи заявки на участие в конкурсе;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сведения из Единого федерального реестра сведений о банкротстве, подтверждающие, что в течение одного года до даты подачи заявки на участие в конкурсе в отношении претендента на участие в конкурсе не проводились процедуры, применяемые в деле о банкротстве;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бухгалтерская (финансовая) и налоговая отчетность заявителя за предыдущий год и отчетный период, предшествующий дате подачи заявки на участие в конкурсе.</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Постановлений Правительства РФ от 30.01.2013 </w:t>
      </w:r>
      <w:hyperlink r:id="rId660" w:history="1">
        <w:r>
          <w:rPr>
            <w:rFonts w:ascii="Arial" w:hAnsi="Arial" w:cs="Arial"/>
            <w:color w:val="0000FF"/>
            <w:sz w:val="20"/>
            <w:szCs w:val="20"/>
          </w:rPr>
          <w:t>N 67</w:t>
        </w:r>
      </w:hyperlink>
      <w:r>
        <w:rPr>
          <w:rFonts w:ascii="Arial" w:hAnsi="Arial" w:cs="Arial"/>
          <w:sz w:val="20"/>
          <w:szCs w:val="20"/>
        </w:rPr>
        <w:t xml:space="preserve">, от 08.12.2018 </w:t>
      </w:r>
      <w:hyperlink r:id="rId661" w:history="1">
        <w:r>
          <w:rPr>
            <w:rFonts w:ascii="Arial" w:hAnsi="Arial" w:cs="Arial"/>
            <w:color w:val="0000FF"/>
            <w:sz w:val="20"/>
            <w:szCs w:val="20"/>
          </w:rPr>
          <w:t>N 1496</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07" w:name="Par1812"/>
      <w:bookmarkEnd w:id="207"/>
      <w:r>
        <w:rPr>
          <w:rFonts w:ascii="Arial" w:hAnsi="Arial" w:cs="Arial"/>
          <w:sz w:val="20"/>
          <w:szCs w:val="20"/>
        </w:rPr>
        <w:t xml:space="preserve">полный список аффилированных лиц заявителя в соответствии с </w:t>
      </w:r>
      <w:hyperlink r:id="rId662" w:history="1">
        <w:r>
          <w:rPr>
            <w:rFonts w:ascii="Arial" w:hAnsi="Arial" w:cs="Arial"/>
            <w:color w:val="0000FF"/>
            <w:sz w:val="20"/>
            <w:szCs w:val="20"/>
          </w:rPr>
          <w:t>Законом</w:t>
        </w:r>
      </w:hyperlink>
      <w:r>
        <w:rPr>
          <w:rFonts w:ascii="Arial" w:hAnsi="Arial" w:cs="Arial"/>
          <w:sz w:val="20"/>
          <w:szCs w:val="20"/>
        </w:rPr>
        <w:t xml:space="preserve"> РСФСР от 22 марта 1991 г. N 948-1 "О конкуренции и ограничении монополистической деятельности на товарных рынках", а также лиц, являющихся в соответствии с Налоговым </w:t>
      </w:r>
      <w:hyperlink r:id="rId663" w:history="1">
        <w:r>
          <w:rPr>
            <w:rFonts w:ascii="Arial" w:hAnsi="Arial" w:cs="Arial"/>
            <w:color w:val="0000FF"/>
            <w:sz w:val="20"/>
            <w:szCs w:val="20"/>
          </w:rPr>
          <w:t>кодексом</w:t>
        </w:r>
      </w:hyperlink>
      <w:r>
        <w:rPr>
          <w:rFonts w:ascii="Arial" w:hAnsi="Arial" w:cs="Arial"/>
          <w:sz w:val="20"/>
          <w:szCs w:val="20"/>
        </w:rPr>
        <w:t xml:space="preserve"> Российской Федерации взаимозависимыми с заявителем;</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664"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11.10.2016 N 1030)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08" w:name="Par1814"/>
      <w:bookmarkEnd w:id="208"/>
      <w:r>
        <w:rPr>
          <w:rFonts w:ascii="Arial" w:hAnsi="Arial" w:cs="Arial"/>
          <w:sz w:val="20"/>
          <w:szCs w:val="20"/>
        </w:rPr>
        <w:t xml:space="preserve">информация о лицах, входящих в группу лиц с заявителем, по </w:t>
      </w:r>
      <w:hyperlink r:id="rId665" w:history="1">
        <w:r>
          <w:rPr>
            <w:rFonts w:ascii="Arial" w:hAnsi="Arial" w:cs="Arial"/>
            <w:color w:val="0000FF"/>
            <w:sz w:val="20"/>
            <w:szCs w:val="20"/>
          </w:rPr>
          <w:t>форме</w:t>
        </w:r>
      </w:hyperlink>
      <w:r>
        <w:rPr>
          <w:rFonts w:ascii="Arial" w:hAnsi="Arial" w:cs="Arial"/>
          <w:sz w:val="20"/>
          <w:szCs w:val="20"/>
        </w:rPr>
        <w:t xml:space="preserve">, утвержденной Федеральной антимонопольной службой, с указанием признаков, по которым такие лица входят в эту группу, на дату подачи заявки, сведения о лицах (бенефициарах), в интересах которых осуществляется владение более чем 5 процентами акций заявителя их номинальными держателями, сведения об аффилированных лицах в соответствии со </w:t>
      </w:r>
      <w:hyperlink r:id="rId666" w:history="1">
        <w:r>
          <w:rPr>
            <w:rFonts w:ascii="Arial" w:hAnsi="Arial" w:cs="Arial"/>
            <w:color w:val="0000FF"/>
            <w:sz w:val="20"/>
            <w:szCs w:val="20"/>
          </w:rPr>
          <w:t>статьей 4</w:t>
        </w:r>
      </w:hyperlink>
      <w:r>
        <w:rPr>
          <w:rFonts w:ascii="Arial" w:hAnsi="Arial" w:cs="Arial"/>
          <w:sz w:val="20"/>
          <w:szCs w:val="20"/>
        </w:rPr>
        <w:t xml:space="preserve"> Закона РСФСР от 22 марта 1991 г. N 948-1 "О конкуренции и ограничении монополистической деятельности на товарных рынках".</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667"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11.10.2016 N 1030)</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213 в ред. </w:t>
      </w:r>
      <w:hyperlink r:id="rId668"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30.12.2012 N 1482)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09" w:name="Par1817"/>
      <w:bookmarkEnd w:id="209"/>
      <w:r>
        <w:rPr>
          <w:rFonts w:ascii="Arial" w:hAnsi="Arial" w:cs="Arial"/>
          <w:sz w:val="20"/>
          <w:szCs w:val="20"/>
        </w:rPr>
        <w:t xml:space="preserve">214. В заявке на участие в конкурсе заявитель обязан указать размер денежных средств, которые он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w:t>
      </w:r>
      <w:hyperlink w:anchor="Par1766" w:history="1">
        <w:r>
          <w:rPr>
            <w:rFonts w:ascii="Arial" w:hAnsi="Arial" w:cs="Arial"/>
            <w:color w:val="0000FF"/>
            <w:sz w:val="20"/>
            <w:szCs w:val="20"/>
          </w:rPr>
          <w:t>абзаце двенадцатом пункта 207</w:t>
        </w:r>
      </w:hyperlink>
      <w:r>
        <w:rPr>
          <w:rFonts w:ascii="Arial" w:hAnsi="Arial" w:cs="Arial"/>
          <w:sz w:val="20"/>
          <w:szCs w:val="20"/>
        </w:rPr>
        <w:t xml:space="preserve"> настоящего документа, в соответствии с требованиями, установленными в </w:t>
      </w:r>
      <w:hyperlink w:anchor="Par1768" w:history="1">
        <w:r>
          <w:rPr>
            <w:rFonts w:ascii="Arial" w:hAnsi="Arial" w:cs="Arial"/>
            <w:color w:val="0000FF"/>
            <w:sz w:val="20"/>
            <w:szCs w:val="20"/>
          </w:rPr>
          <w:t>абзацах тринадцатом</w:t>
        </w:r>
      </w:hyperlink>
      <w:r>
        <w:rPr>
          <w:rFonts w:ascii="Arial" w:hAnsi="Arial" w:cs="Arial"/>
          <w:sz w:val="20"/>
          <w:szCs w:val="20"/>
        </w:rPr>
        <w:t xml:space="preserve"> и </w:t>
      </w:r>
      <w:hyperlink w:anchor="Par1769" w:history="1">
        <w:r>
          <w:rPr>
            <w:rFonts w:ascii="Arial" w:hAnsi="Arial" w:cs="Arial"/>
            <w:color w:val="0000FF"/>
            <w:sz w:val="20"/>
            <w:szCs w:val="20"/>
          </w:rPr>
          <w:t>четырнадцатом пункта 207</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Абзацы второй - третий утратили силу. - </w:t>
      </w:r>
      <w:hyperlink r:id="rId669" w:history="1">
        <w:r>
          <w:rPr>
            <w:rFonts w:ascii="Arial" w:hAnsi="Arial" w:cs="Arial"/>
            <w:color w:val="0000FF"/>
            <w:sz w:val="20"/>
            <w:szCs w:val="20"/>
          </w:rPr>
          <w:t>Постановление</w:t>
        </w:r>
      </w:hyperlink>
      <w:r>
        <w:rPr>
          <w:rFonts w:ascii="Arial" w:hAnsi="Arial" w:cs="Arial"/>
          <w:sz w:val="20"/>
          <w:szCs w:val="20"/>
        </w:rPr>
        <w:t xml:space="preserve"> Правительства РФ от 21.07.2017 N 863.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215. Уполномоченный федеральный орган не позднее 3 рабочих дней по истечении срока окончания приема заявок на участие в конкурсе объявляет дату заседания конкурсной комиссии и передает в ее адрес поступившие заявки на участие в конкурсе и приложенные к ним документы, а в случае если в установленный срок в уполномоченный федеральный орган не поступило ни одной заявки на участие в конкурсе, уполномоченный федеральный орган принимает решение о признании конкурса несостоявшимся.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670"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11.10.2016 N 1030)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Конкурсная комиссия не позднее 8 рабочих дней по истечении срока окончания приема заявок на участие в конкурсе производит проверку переданных уполномоченным федеральным органом материалов на их соответствие решению о проведении конкурса, порядку проведения конкурса и требованиям настоящего документа, в том числе проверяет полноту приложенных к заявке на участие в конкурсе документов.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предоставления заявителем документов, не соответствующих требованиям законодательства Российской Федерации, конкурсная комиссия отказывает заявителю в приеме заявки. Такой отказ должен быть мотивированным и содержать конкретные обстоятельства, являющиеся основанием для отказа.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 итогам проведенной конкурсной комиссией проверки уполномоченный федеральный орган не позднее 2 рабочих дней направляет каждому заявителю уведомление о принятии заявки на участие в конкурсе, об отказе в приеме заявки или о необходимости представления в течение 5 рабочих дней недостающих документов. В случае непредставления заявителем в указанный срок недостающих документов заявка на участие в конкурсе считается неподанной.</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215 в ред. </w:t>
      </w:r>
      <w:hyperlink r:id="rId671"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30.12.2012 N 1482)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216. Уполномоченный федеральный орган объявляет дату заседания конкурсной комиссии в соответствии с опубликованной датой проведения конкурса.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день проведения конкурса конкурсная комиссия рассматривает представленные заявки на участие в конкурсе и прилагаемые к ним документы, производит расчет сводного рейтинга заявителей по формулам согласно </w:t>
      </w:r>
      <w:hyperlink w:anchor="Par3643" w:history="1">
        <w:r>
          <w:rPr>
            <w:rFonts w:ascii="Arial" w:hAnsi="Arial" w:cs="Arial"/>
            <w:color w:val="0000FF"/>
            <w:sz w:val="20"/>
            <w:szCs w:val="20"/>
          </w:rPr>
          <w:t>приложению N 4</w:t>
        </w:r>
      </w:hyperlink>
      <w:r>
        <w:rPr>
          <w:rFonts w:ascii="Arial" w:hAnsi="Arial" w:cs="Arial"/>
          <w:sz w:val="20"/>
          <w:szCs w:val="20"/>
        </w:rPr>
        <w:t xml:space="preserve"> исходя из размеров денежных средств, указанных ими в заявках на участие в конкурсе, для направления в счет уступки требований кредиторов к гарантирующему поставщику и передает результаты уполномоченному федеральному органу для принятия решения о признании заявителя победителем конкурса или о признании конкурса несостоявшимся.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Постановлений Правительства РФ от 30.12.2012 </w:t>
      </w:r>
      <w:hyperlink r:id="rId672" w:history="1">
        <w:r>
          <w:rPr>
            <w:rFonts w:ascii="Arial" w:hAnsi="Arial" w:cs="Arial"/>
            <w:color w:val="0000FF"/>
            <w:sz w:val="20"/>
            <w:szCs w:val="20"/>
          </w:rPr>
          <w:t>N 1482</w:t>
        </w:r>
      </w:hyperlink>
      <w:r>
        <w:rPr>
          <w:rFonts w:ascii="Arial" w:hAnsi="Arial" w:cs="Arial"/>
          <w:sz w:val="20"/>
          <w:szCs w:val="20"/>
        </w:rPr>
        <w:t xml:space="preserve">, от 21.07.2017 </w:t>
      </w:r>
      <w:hyperlink r:id="rId673" w:history="1">
        <w:r>
          <w:rPr>
            <w:rFonts w:ascii="Arial" w:hAnsi="Arial" w:cs="Arial"/>
            <w:color w:val="0000FF"/>
            <w:sz w:val="20"/>
            <w:szCs w:val="20"/>
          </w:rPr>
          <w:t>N 863</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217. Уполномоченный федеральный орган не позднее 3 рабочих дней со дня проведения конкурса принимает решение о признании победителем конкурса заявителя, имеющего наибольший рейтинг среди заявителей, соответствующих требованиям, установленным в решении о проведении конкурса на присвоение статуса гарантирующего поставщика.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Уполномоченный федеральный орган не позднее 2 рабочих дней со дня принятия им решения о признании заявителя победителем конкурса размещает на своем официальном сайте в сети "Интернет" такое решение, сводный рейтинг заявителей и значения его составляющих по каждому из участников конкурса.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Уполномоченный федеральный орган не позднее 5 рабочих дней со дня принятия им решения о признании заявителя победителем конкурса обязан направить победителю конкурса реестр кредиторов, сформированный и актуализированный уполномоченным федеральным органом совместно с советом рынка в порядке, предусмотренном порядком проведения конкурса, определенным уполномоченным федеральным органом.</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674"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11.10.2016 N 1030; в ред. </w:t>
      </w:r>
      <w:hyperlink r:id="rId675"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08.12.2018 N 1496)</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217 в ред. </w:t>
      </w:r>
      <w:hyperlink r:id="rId676"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30.12.2012 N 1482)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218. Уполномоченный федеральный орган принимает решение о признании конкурса несостоявшимся в течение 3 рабочих дней со дня его проведения, которое содержит срок, в течение которого должно быть принято решение о проведении повторного конкурса, в следующих случаях:</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абзац утратил силу. - </w:t>
      </w:r>
      <w:hyperlink r:id="rId677" w:history="1">
        <w:r>
          <w:rPr>
            <w:rFonts w:ascii="Arial" w:hAnsi="Arial" w:cs="Arial"/>
            <w:color w:val="0000FF"/>
            <w:sz w:val="20"/>
            <w:szCs w:val="20"/>
          </w:rPr>
          <w:t>Постановление</w:t>
        </w:r>
      </w:hyperlink>
      <w:r>
        <w:rPr>
          <w:rFonts w:ascii="Arial" w:hAnsi="Arial" w:cs="Arial"/>
          <w:sz w:val="20"/>
          <w:szCs w:val="20"/>
        </w:rPr>
        <w:t xml:space="preserve"> Правительства РФ от 11.10.2016 N 1030;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если все заявители, подавшие заявки на участие в конкурсе, не соответствуют требованиям, установленным в решении о проведении конкурса на присвоение статуса гарантирующего поставщика;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иных случаях, предусмотренных </w:t>
      </w:r>
      <w:hyperlink w:anchor="Par1864" w:history="1">
        <w:r>
          <w:rPr>
            <w:rFonts w:ascii="Arial" w:hAnsi="Arial" w:cs="Arial"/>
            <w:color w:val="0000FF"/>
            <w:sz w:val="20"/>
            <w:szCs w:val="20"/>
          </w:rPr>
          <w:t>пунктом 222</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если в уполномоченный федеральный орган поступила одна заявка на участие в конкурсе, при этом заявитель и поданная им заявка соответствуют требованиям настоящего документа к участникам конкурса и заявкам на участие в конкурсе, статус гарантирующего поставщика присваивается такому заявителю (далее - единственный участник конкурса) в порядке, предусмотренном настоящим документом для победителя конкурса.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218 в ред. </w:t>
      </w:r>
      <w:hyperlink r:id="rId678"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30.12.2012 N 1482)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10" w:name="Par1839"/>
      <w:bookmarkEnd w:id="210"/>
      <w:r>
        <w:rPr>
          <w:rFonts w:ascii="Arial" w:hAnsi="Arial" w:cs="Arial"/>
          <w:sz w:val="20"/>
          <w:szCs w:val="20"/>
        </w:rPr>
        <w:t>219. Организация, признанная победителем конкурса, в течение 10 рабочих дней со дня направления уполномоченным федеральным органом победителю конкурса реестра кредиторов, сформированного и актуализированного уполномоченным федеральным органом совместно с советом рынка в соответствии с порядком проведения конкурса, обязана: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Постановлений Правительства РФ от 11.10.2016 </w:t>
      </w:r>
      <w:hyperlink r:id="rId679" w:history="1">
        <w:r>
          <w:rPr>
            <w:rFonts w:ascii="Arial" w:hAnsi="Arial" w:cs="Arial"/>
            <w:color w:val="0000FF"/>
            <w:sz w:val="20"/>
            <w:szCs w:val="20"/>
          </w:rPr>
          <w:t>N 1030</w:t>
        </w:r>
      </w:hyperlink>
      <w:r>
        <w:rPr>
          <w:rFonts w:ascii="Arial" w:hAnsi="Arial" w:cs="Arial"/>
          <w:sz w:val="20"/>
          <w:szCs w:val="20"/>
        </w:rPr>
        <w:t xml:space="preserve">, от 08.12.2018 </w:t>
      </w:r>
      <w:hyperlink r:id="rId680" w:history="1">
        <w:r>
          <w:rPr>
            <w:rFonts w:ascii="Arial" w:hAnsi="Arial" w:cs="Arial"/>
            <w:color w:val="0000FF"/>
            <w:sz w:val="20"/>
            <w:szCs w:val="20"/>
          </w:rPr>
          <w:t>N 1496</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инициировать выполнение мероприятий, предусмотренных </w:t>
      </w:r>
      <w:hyperlink r:id="rId681" w:history="1">
        <w:r>
          <w:rPr>
            <w:rFonts w:ascii="Arial" w:hAnsi="Arial" w:cs="Arial"/>
            <w:color w:val="0000FF"/>
            <w:sz w:val="20"/>
            <w:szCs w:val="20"/>
          </w:rPr>
          <w:t>Правилами</w:t>
        </w:r>
      </w:hyperlink>
      <w:r>
        <w:rPr>
          <w:rFonts w:ascii="Arial" w:hAnsi="Arial" w:cs="Arial"/>
          <w:sz w:val="20"/>
          <w:szCs w:val="20"/>
        </w:rPr>
        <w:t xml:space="preserve"> оптового рынка и договором о присоединении к торговой системе оптового рынка для регистрации группы (групп) точек поставки, соответствующих зоне деятельности гарантирующего поставщика, а также для осуществления торговли электрической энергией и мощностью на оптовом рынке с использованием такой группы (групп) точек поставки;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обратиться в установленном порядке в орган исполнительной власти субъекта Российской Федерации в области государственного регулирования тарифов для установления регулируемых цен (тарифов), </w:t>
      </w:r>
      <w:r>
        <w:rPr>
          <w:rFonts w:ascii="Arial" w:hAnsi="Arial" w:cs="Arial"/>
          <w:sz w:val="20"/>
          <w:szCs w:val="20"/>
        </w:rPr>
        <w:lastRenderedPageBreak/>
        <w:t>необходимых для осуществления победителем конкурса функций гарантирующего поставщика, и до вступления в силу решения такого органа об установлении таких цен (тарифов) осуществлять функции гарантирующего поставщика с применением цен (тарифов), ранее установленных для заменяемого гарантирующего поставщика;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направить в соответствии с порядком, предусмотренным договором о присоединении к торговой системе оптового рынка, кредиторам предложения об уступке их требований по оплате задолженности, указанной в </w:t>
      </w:r>
      <w:hyperlink w:anchor="Par1766" w:history="1">
        <w:r>
          <w:rPr>
            <w:rFonts w:ascii="Arial" w:hAnsi="Arial" w:cs="Arial"/>
            <w:color w:val="0000FF"/>
            <w:sz w:val="20"/>
            <w:szCs w:val="20"/>
          </w:rPr>
          <w:t>абзаце двенадцатом пункта 207</w:t>
        </w:r>
      </w:hyperlink>
      <w:r>
        <w:rPr>
          <w:rFonts w:ascii="Arial" w:hAnsi="Arial" w:cs="Arial"/>
          <w:sz w:val="20"/>
          <w:szCs w:val="20"/>
        </w:rPr>
        <w:t xml:space="preserve"> настоящего документа, в размере, который был указан в заявке организации на участие в конкурсе, и в соответствии с условиями, установленными в решении уполномоченного федерального органа о проведении конкурса, а также с учетом требований настоящего документа. В оферте должен быть указан срок для ответа кредитора, которому адресовано предложение, о принятии этих предложений. Срок для ответа должен быть не менее 30 и не более 45 дней со дня получения предложения кредитором. Указанные предложения не могут быть отозваны направившей их организацией, признанной победителем конкурса, в течение срока, установленного для ответа кредиторов о принятии таких предложений. Предложение должно содержать сумму, указанную в реестре кредиторов и соответствующую размеру денежных средств, определяемому в соответствии с </w:t>
      </w:r>
      <w:hyperlink w:anchor="Par1817" w:history="1">
        <w:r>
          <w:rPr>
            <w:rFonts w:ascii="Arial" w:hAnsi="Arial" w:cs="Arial"/>
            <w:color w:val="0000FF"/>
            <w:sz w:val="20"/>
            <w:szCs w:val="20"/>
          </w:rPr>
          <w:t>пунктом 214</w:t>
        </w:r>
      </w:hyperlink>
      <w:r>
        <w:rPr>
          <w:rFonts w:ascii="Arial" w:hAnsi="Arial" w:cs="Arial"/>
          <w:sz w:val="20"/>
          <w:szCs w:val="20"/>
        </w:rPr>
        <w:t xml:space="preserve"> настоящего документа, распределенную пропорционально сумме задолженности перед кредитором, указанной в реестре кредиторов, сформированном уполномоченным федеральным органом, которую в заявке на конкурс победитель конкурса обязался оплатить в счет переуступки ему требования кредитора по соответствующему договору.</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Постановлений Правительства РФ от 11.10.2016 </w:t>
      </w:r>
      <w:hyperlink r:id="rId682" w:history="1">
        <w:r>
          <w:rPr>
            <w:rFonts w:ascii="Arial" w:hAnsi="Arial" w:cs="Arial"/>
            <w:color w:val="0000FF"/>
            <w:sz w:val="20"/>
            <w:szCs w:val="20"/>
          </w:rPr>
          <w:t>N 1030</w:t>
        </w:r>
      </w:hyperlink>
      <w:r>
        <w:rPr>
          <w:rFonts w:ascii="Arial" w:hAnsi="Arial" w:cs="Arial"/>
          <w:sz w:val="20"/>
          <w:szCs w:val="20"/>
        </w:rPr>
        <w:t xml:space="preserve">, от 08.12.2018 </w:t>
      </w:r>
      <w:hyperlink r:id="rId683" w:history="1">
        <w:r>
          <w:rPr>
            <w:rFonts w:ascii="Arial" w:hAnsi="Arial" w:cs="Arial"/>
            <w:color w:val="0000FF"/>
            <w:sz w:val="20"/>
            <w:szCs w:val="20"/>
          </w:rPr>
          <w:t>N 1496</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Надлежащим образом заверенные копии соответствующих заявлений и предложений кредиторам, документы, подтверждающие получение соответствующих заявлений и предложений кредиторами и иными лицами, и иные документы, подтверждающие выполнение указанных требований, победитель конкурса обязан представить в уполномоченный федеральный орган в течение 20 рабочих дней со дня утверждения уполномоченным федеральным органом решения о признании организации победителем конкурса.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Направление денежных средств в счет уступки прав требований кредиторов организация, признанная победителем конкурса, осуществляет в порядке, предусмотренном договором о присоединении к торговой системе оптового рынка.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684"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11.10.2016 N 1030)</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219 в ред. </w:t>
      </w:r>
      <w:hyperlink r:id="rId685"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30.12.2012 N 1482)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220. Уполномоченный федеральный орган в течение 3 рабочих дней со дня получения от организации - победителя конкурса документов, подтверждающих выполнение требований, указанных в решении уполномоченного федерального органа, в соответствии с </w:t>
      </w:r>
      <w:hyperlink w:anchor="Par1769" w:history="1">
        <w:r>
          <w:rPr>
            <w:rFonts w:ascii="Arial" w:hAnsi="Arial" w:cs="Arial"/>
            <w:color w:val="0000FF"/>
            <w:sz w:val="20"/>
            <w:szCs w:val="20"/>
          </w:rPr>
          <w:t>абзацем четырнадцатым пункта 207</w:t>
        </w:r>
      </w:hyperlink>
      <w:r>
        <w:rPr>
          <w:rFonts w:ascii="Arial" w:hAnsi="Arial" w:cs="Arial"/>
          <w:sz w:val="20"/>
          <w:szCs w:val="20"/>
        </w:rPr>
        <w:t xml:space="preserve"> настоящего документа, а также иных документов, указанных в </w:t>
      </w:r>
      <w:hyperlink w:anchor="Par1839" w:history="1">
        <w:r>
          <w:rPr>
            <w:rFonts w:ascii="Arial" w:hAnsi="Arial" w:cs="Arial"/>
            <w:color w:val="0000FF"/>
            <w:sz w:val="20"/>
            <w:szCs w:val="20"/>
          </w:rPr>
          <w:t>пункте 219</w:t>
        </w:r>
      </w:hyperlink>
      <w:r>
        <w:rPr>
          <w:rFonts w:ascii="Arial" w:hAnsi="Arial" w:cs="Arial"/>
          <w:sz w:val="20"/>
          <w:szCs w:val="20"/>
        </w:rPr>
        <w:t xml:space="preserve"> настоящего документа, принимает решение о присвоении организации, признанной победителем конкурса, статуса гарантирующего поставщика.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Решение уполномоченного федерального органа о присвоении статуса гарантирующего поставщика должно содержать:</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11" w:name="Par1851"/>
      <w:bookmarkEnd w:id="211"/>
      <w:r>
        <w:rPr>
          <w:rFonts w:ascii="Arial" w:hAnsi="Arial" w:cs="Arial"/>
          <w:sz w:val="20"/>
          <w:szCs w:val="20"/>
        </w:rPr>
        <w:t>наименование организации - победителя конкурса, которой присваивается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686"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08.12.2018 N 1496)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12" w:name="Par1853"/>
      <w:bookmarkEnd w:id="212"/>
      <w:r>
        <w:rPr>
          <w:rFonts w:ascii="Arial" w:hAnsi="Arial" w:cs="Arial"/>
          <w:sz w:val="20"/>
          <w:szCs w:val="20"/>
        </w:rPr>
        <w:t>наименование территориальной сетевой организации, которая утрачивает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687"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08.12.2018 N 1496)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дату присвоения организации - победителю конкурса статуса гарантирующего поставщика, определяемую в порядке, предусмотренном </w:t>
      </w:r>
      <w:hyperlink w:anchor="Par1879" w:history="1">
        <w:r>
          <w:rPr>
            <w:rFonts w:ascii="Arial" w:hAnsi="Arial" w:cs="Arial"/>
            <w:color w:val="0000FF"/>
            <w:sz w:val="20"/>
            <w:szCs w:val="20"/>
          </w:rPr>
          <w:t>пунктом 225</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220 в ред. </w:t>
      </w:r>
      <w:hyperlink r:id="rId688"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30.12.2012 N 1482)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221. Не позднее 3 рабочих дней, следующих за днем принятия решения о присвоении статуса гарантирующего поставщика, уполномоченный федеральный орган размещает указанное решение на своем официальном сайте в сети "Интернет" и направляет копию решения в адрес:</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организации, которой присвоен статус гарантирующего поставщика;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организации, которая утрачивает статус гарантирующего поставщика;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федерального органа исполнительной власти в области государственного регулирования тарифов;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уполномоченного органа (органов) субъекта (субъектов) Российской Федерации, на территории которого располагается зона деятельности гарантирующего поставщика;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совета рынка.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221 в ред. </w:t>
      </w:r>
      <w:hyperlink r:id="rId689"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30.12.2012 N 1482)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13" w:name="Par1864"/>
      <w:bookmarkEnd w:id="213"/>
      <w:r>
        <w:rPr>
          <w:rFonts w:ascii="Arial" w:hAnsi="Arial" w:cs="Arial"/>
          <w:sz w:val="20"/>
          <w:szCs w:val="20"/>
        </w:rPr>
        <w:t xml:space="preserve">222. В случае если организация - победитель конкурса в установленный срок не совершила действия, предусмотренные </w:t>
      </w:r>
      <w:hyperlink w:anchor="Par1839" w:history="1">
        <w:r>
          <w:rPr>
            <w:rFonts w:ascii="Arial" w:hAnsi="Arial" w:cs="Arial"/>
            <w:color w:val="0000FF"/>
            <w:sz w:val="20"/>
            <w:szCs w:val="20"/>
          </w:rPr>
          <w:t>пунктом 219</w:t>
        </w:r>
      </w:hyperlink>
      <w:r>
        <w:rPr>
          <w:rFonts w:ascii="Arial" w:hAnsi="Arial" w:cs="Arial"/>
          <w:sz w:val="20"/>
          <w:szCs w:val="20"/>
        </w:rPr>
        <w:t xml:space="preserve"> настоящего документа и (или) указанные в решении уполномоченного федерального органа, с учетом требований, предусмотренных </w:t>
      </w:r>
      <w:hyperlink w:anchor="Par1769" w:history="1">
        <w:r>
          <w:rPr>
            <w:rFonts w:ascii="Arial" w:hAnsi="Arial" w:cs="Arial"/>
            <w:color w:val="0000FF"/>
            <w:sz w:val="20"/>
            <w:szCs w:val="20"/>
          </w:rPr>
          <w:t>абзацем четырнадцатым пункта 207</w:t>
        </w:r>
      </w:hyperlink>
      <w:r>
        <w:rPr>
          <w:rFonts w:ascii="Arial" w:hAnsi="Arial" w:cs="Arial"/>
          <w:sz w:val="20"/>
          <w:szCs w:val="20"/>
        </w:rPr>
        <w:t xml:space="preserve"> настоящего документа, то уполномоченный федеральный орган аннулирует решение о признании организации победителем конкурса и принимает решение о признании организации, принимавшей участие в конкурсе и занявшей 2-е место в рейтинге, победителем конкурса. В случае если такая организация отсутствует, то уполномоченный федеральный орган принимает решение о признании конкурса несостоявшимся.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если признанная победителем конкурса организация, принимавшая участие в конкурсе и занявшая 2-е место в рейтинге, не совершила в установленный срок действия, предусмотренные </w:t>
      </w:r>
      <w:hyperlink w:anchor="Par1839" w:history="1">
        <w:r>
          <w:rPr>
            <w:rFonts w:ascii="Arial" w:hAnsi="Arial" w:cs="Arial"/>
            <w:color w:val="0000FF"/>
            <w:sz w:val="20"/>
            <w:szCs w:val="20"/>
          </w:rPr>
          <w:t>пунктом 219</w:t>
        </w:r>
      </w:hyperlink>
      <w:r>
        <w:rPr>
          <w:rFonts w:ascii="Arial" w:hAnsi="Arial" w:cs="Arial"/>
          <w:sz w:val="20"/>
          <w:szCs w:val="20"/>
        </w:rPr>
        <w:t xml:space="preserve"> настоящего документа и (или) указанные в решении уполномоченного федерального органа, с учетом требований, предусмотренных </w:t>
      </w:r>
      <w:hyperlink w:anchor="Par1769" w:history="1">
        <w:r>
          <w:rPr>
            <w:rFonts w:ascii="Arial" w:hAnsi="Arial" w:cs="Arial"/>
            <w:color w:val="0000FF"/>
            <w:sz w:val="20"/>
            <w:szCs w:val="20"/>
          </w:rPr>
          <w:t>абзацем четырнадцатым пункта 207</w:t>
        </w:r>
      </w:hyperlink>
      <w:r>
        <w:rPr>
          <w:rFonts w:ascii="Arial" w:hAnsi="Arial" w:cs="Arial"/>
          <w:sz w:val="20"/>
          <w:szCs w:val="20"/>
        </w:rPr>
        <w:t xml:space="preserve"> настоящего документа, то уполномоченный федеральный орган аннулирует решение о признании организации победителем конкурса и в порядке, предусмотренном настоящим документом, принимает решение о признании конкурса несостоявшимся.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222 в ред. </w:t>
      </w:r>
      <w:hyperlink r:id="rId690"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30.12.2012 N 1482)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223. Сведения об организациях, которые были признаны победителями конкурсов и которые не совершили действия, предусмотренные </w:t>
      </w:r>
      <w:hyperlink w:anchor="Par1839" w:history="1">
        <w:r>
          <w:rPr>
            <w:rFonts w:ascii="Arial" w:hAnsi="Arial" w:cs="Arial"/>
            <w:color w:val="0000FF"/>
            <w:sz w:val="20"/>
            <w:szCs w:val="20"/>
          </w:rPr>
          <w:t>пунктом 219</w:t>
        </w:r>
      </w:hyperlink>
      <w:r>
        <w:rPr>
          <w:rFonts w:ascii="Arial" w:hAnsi="Arial" w:cs="Arial"/>
          <w:sz w:val="20"/>
          <w:szCs w:val="20"/>
        </w:rPr>
        <w:t xml:space="preserve"> настоящего документа и (или) указанные в решении уполномоченного федерального органа, с учетом требований, предусмотренных </w:t>
      </w:r>
      <w:hyperlink w:anchor="Par1769" w:history="1">
        <w:r>
          <w:rPr>
            <w:rFonts w:ascii="Arial" w:hAnsi="Arial" w:cs="Arial"/>
            <w:color w:val="0000FF"/>
            <w:sz w:val="20"/>
            <w:szCs w:val="20"/>
          </w:rPr>
          <w:t>абзацем четырнадцатым пункта 207</w:t>
        </w:r>
      </w:hyperlink>
      <w:r>
        <w:rPr>
          <w:rFonts w:ascii="Arial" w:hAnsi="Arial" w:cs="Arial"/>
          <w:sz w:val="20"/>
          <w:szCs w:val="20"/>
        </w:rPr>
        <w:t xml:space="preserve"> настоящего документа, вносятся в реестр недобросовестных участников конкурсов, ведение которого осуществляет уполномоченный федеральный орган. В указанный реестр включаются следующие сведения об участниках конкурсов: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наименование, место нахождения, идентификационный номер налогоплательщика и государственный регистрационный номер записи о государственной регистрации организации при ее создании;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дата принятия решения о признании организации победителем конкурса;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дата принятия решения об аннулировании решения о признании организации победителем конкурса.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Указанные сведения уполномоченный федеральный орган вносит в реестр не позднее 5 рабочих дней со дня принятия решения об аннулировании решения о признании организации победителем конкурса.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Сведения о недобросовестном участнике конкурса исключаются из реестра недобросовестных участников конкурсов по истечении 5 лет со дня их внесения в реестр.</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Реестр недобросовестных участников конкурсов подлежит опубликованию на официальном сайте уполномоченного федерального органа в сети "Интернет".</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223 в ред. </w:t>
      </w:r>
      <w:hyperlink r:id="rId691"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30.12.2012 N 1482)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224. Территориальная сетевая организация, которой присвоен статус гарантирующего поставщика, в течение 2 рабочих дней со дня принятия уполномоченным федеральным органом соответствующего решения: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инициирует выполнение мероприятий, предусмотренных </w:t>
      </w:r>
      <w:hyperlink r:id="rId692" w:history="1">
        <w:r>
          <w:rPr>
            <w:rFonts w:ascii="Arial" w:hAnsi="Arial" w:cs="Arial"/>
            <w:color w:val="0000FF"/>
            <w:sz w:val="20"/>
            <w:szCs w:val="20"/>
          </w:rPr>
          <w:t>Правилами</w:t>
        </w:r>
      </w:hyperlink>
      <w:r>
        <w:rPr>
          <w:rFonts w:ascii="Arial" w:hAnsi="Arial" w:cs="Arial"/>
          <w:sz w:val="20"/>
          <w:szCs w:val="20"/>
        </w:rPr>
        <w:t xml:space="preserve"> оптового рынка и договором о присоединении к торговой системе оптового рынка для осуществления купли-продажи электрической энергии и мощности на оптовом рынке;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обращается в установленном порядке в орган исполнительной власти субъекта Российской Федерации в области регулирования тарифов для установления регулируемых цен (тарифов), необходимых для осуществления территориальной сетевой организацией функций гарантирующего поставщика, и до вступления в силу решения такого органа об установлении таких цен (тарифов) осуществляет функции гарантирующего поставщика с применением цен (тарифов), ранее установленных для заменяемого гарантирующего поставщика.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224 в ред. </w:t>
      </w:r>
      <w:hyperlink r:id="rId693"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30.12.2012 N 1482)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14" w:name="Par1879"/>
      <w:bookmarkEnd w:id="214"/>
      <w:r>
        <w:rPr>
          <w:rFonts w:ascii="Arial" w:hAnsi="Arial" w:cs="Arial"/>
          <w:sz w:val="20"/>
          <w:szCs w:val="20"/>
        </w:rPr>
        <w:t xml:space="preserve">225. Статус гарантирующего поставщика присваивается организации, признанной победителем конкурса, совершившей в установленный срок предусмотренные </w:t>
      </w:r>
      <w:hyperlink w:anchor="Par1839" w:history="1">
        <w:r>
          <w:rPr>
            <w:rFonts w:ascii="Arial" w:hAnsi="Arial" w:cs="Arial"/>
            <w:color w:val="0000FF"/>
            <w:sz w:val="20"/>
            <w:szCs w:val="20"/>
          </w:rPr>
          <w:t>пунктом 219</w:t>
        </w:r>
      </w:hyperlink>
      <w:r>
        <w:rPr>
          <w:rFonts w:ascii="Arial" w:hAnsi="Arial" w:cs="Arial"/>
          <w:sz w:val="20"/>
          <w:szCs w:val="20"/>
        </w:rPr>
        <w:t xml:space="preserve"> настоящего документа и (или) указанные в решении уполномоченного федерального органа действия, с учетом требований, предусмотренных </w:t>
      </w:r>
      <w:hyperlink w:anchor="Par1769" w:history="1">
        <w:r>
          <w:rPr>
            <w:rFonts w:ascii="Arial" w:hAnsi="Arial" w:cs="Arial"/>
            <w:color w:val="0000FF"/>
            <w:sz w:val="20"/>
            <w:szCs w:val="20"/>
          </w:rPr>
          <w:t>абзацем четырнадцатым пункта 207</w:t>
        </w:r>
      </w:hyperlink>
      <w:r>
        <w:rPr>
          <w:rFonts w:ascii="Arial" w:hAnsi="Arial" w:cs="Arial"/>
          <w:sz w:val="20"/>
          <w:szCs w:val="20"/>
        </w:rPr>
        <w:t xml:space="preserve"> настоящего документа, с 1-го числа месяца, следующего за месяцем истечения срока, на который территориальной сетевой организации присвоен статус гарантирующего поставщика, если указанный срок истекает не позднее 25 числа месяца истечения срока, и с 1-го числа второго месяца, следующего за месяцем истечения срока, на который территориальной сетевой организации присвоен статус гарантирующего поставщика, если указанный срок истекает после 25 числа месяца истечения срока.</w:t>
      </w:r>
    </w:p>
    <w:p w:rsidR="009F5AFE" w:rsidRDefault="009F5AFE" w:rsidP="009F5AFE">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(п. 225 в ред. </w:t>
      </w:r>
      <w:hyperlink r:id="rId694"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30.12.2012 N 1482)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15" w:name="Par1881"/>
      <w:bookmarkEnd w:id="215"/>
      <w:r>
        <w:rPr>
          <w:rFonts w:ascii="Arial" w:hAnsi="Arial" w:cs="Arial"/>
          <w:sz w:val="20"/>
          <w:szCs w:val="20"/>
        </w:rPr>
        <w:t xml:space="preserve">226. При наступлении обстоятельств, предусмотренных </w:t>
      </w:r>
      <w:hyperlink w:anchor="Par1634" w:history="1">
        <w:r>
          <w:rPr>
            <w:rFonts w:ascii="Arial" w:hAnsi="Arial" w:cs="Arial"/>
            <w:color w:val="0000FF"/>
            <w:sz w:val="20"/>
            <w:szCs w:val="20"/>
          </w:rPr>
          <w:t>пунктом 202</w:t>
        </w:r>
      </w:hyperlink>
      <w:r>
        <w:rPr>
          <w:rFonts w:ascii="Arial" w:hAnsi="Arial" w:cs="Arial"/>
          <w:sz w:val="20"/>
          <w:szCs w:val="20"/>
        </w:rPr>
        <w:t xml:space="preserve"> настоящего документа, для гарантирующего поставщика, зона деятельности которого располагается на территории технологически изолированной территориальной электроэнергетической системы,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10 рабочих дней со дня получения информации о наступлении указанных обстоятельств принимает решения: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695"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28.05.2015 N 508)</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об утрате гарантирующим поставщиком его статуса;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 присвоении статуса гарантирующего поставщика территориальной сетевой организации, на которую в соответствии с плановым балансом приходится больший объем полезного отпуска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Указанные решения уполномоченного органа субъекта Российской Федерации, на территории которого располагается зона деятельности соответствующего гарантирующего поставщика, вступают в силу с 1-го числа месяца, следующего за месяцем, в котором уполномоченным органом субъекта Российской Федерации, на территории которого располагается зона деятельности соответствующего гарантирующего поставщика, было принято указанное решение, и подлежат опубликованию на его официальном сайте в сети "Интернет" не позднее 3 рабочих дней со дня их принятия.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696"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28.05.2015 N 508)</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 принятых решениях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5 рабочих дней со дня их принятия уведомляет:</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697"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28.05.2015 N 508)</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организацию, которая утратила статус гарантирующего поставщика;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территориальную сетевую организацию, которой присвоен статус гарантирующего поставщика;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федеральный орган исполнительной власти в области регулирования тарифов;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уполномоченный федеральный орган.</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698"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28.05.2015 N 508)</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226 в ред. </w:t>
      </w:r>
      <w:hyperlink r:id="rId699"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30.12.2012 N 1482)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16" w:name="Par1895"/>
      <w:bookmarkEnd w:id="216"/>
      <w:r>
        <w:rPr>
          <w:rFonts w:ascii="Arial" w:hAnsi="Arial" w:cs="Arial"/>
          <w:sz w:val="20"/>
          <w:szCs w:val="20"/>
        </w:rPr>
        <w:t xml:space="preserve">227. При наступлении обстоятельств, предусмотренных </w:t>
      </w:r>
      <w:hyperlink w:anchor="Par1634" w:history="1">
        <w:r>
          <w:rPr>
            <w:rFonts w:ascii="Arial" w:hAnsi="Arial" w:cs="Arial"/>
            <w:color w:val="0000FF"/>
            <w:sz w:val="20"/>
            <w:szCs w:val="20"/>
          </w:rPr>
          <w:t>пунктом 202</w:t>
        </w:r>
      </w:hyperlink>
      <w:r>
        <w:rPr>
          <w:rFonts w:ascii="Arial" w:hAnsi="Arial" w:cs="Arial"/>
          <w:sz w:val="20"/>
          <w:szCs w:val="20"/>
        </w:rPr>
        <w:t xml:space="preserve"> настоящего документа, для являющихся гарантирующими поставщиками хозяйствующих субъектов, эксплуатирующих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статус гарантирующего поставщика присваивается решением уполномоченного органа субъекта Российской Федерации, на территории которого расположены такие </w:t>
      </w:r>
      <w:r>
        <w:rPr>
          <w:rFonts w:ascii="Arial" w:hAnsi="Arial" w:cs="Arial"/>
          <w:sz w:val="20"/>
          <w:szCs w:val="20"/>
        </w:rPr>
        <w:lastRenderedPageBreak/>
        <w:t>объекты, организации не позднее 10 рабочих дней со дня получения ее заявления, поданного в уполномоченный орган субъекта Российской Федерации.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700"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28.05.2015 N 508)</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наступлении обстоятельств, предусмотренных </w:t>
      </w:r>
      <w:hyperlink w:anchor="Par1634" w:history="1">
        <w:r>
          <w:rPr>
            <w:rFonts w:ascii="Arial" w:hAnsi="Arial" w:cs="Arial"/>
            <w:color w:val="0000FF"/>
            <w:sz w:val="20"/>
            <w:szCs w:val="20"/>
          </w:rPr>
          <w:t>пунктом 202</w:t>
        </w:r>
      </w:hyperlink>
      <w:r>
        <w:rPr>
          <w:rFonts w:ascii="Arial" w:hAnsi="Arial" w:cs="Arial"/>
          <w:sz w:val="20"/>
          <w:szCs w:val="20"/>
        </w:rPr>
        <w:t xml:space="preserve"> настоящего документа, для организаций, исполняющих функции гарантирующего поставщика, не эксплуатирующих генерирующие объекты или объекты электросетевого хозяйства,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уполномоченный орган субъекта Российской Федерации присваивает статус гарантирующего поставщика не позднее 10 рабочих дней с момента наступления указанных обстоятельств территориальной сетевой организации, заявленная мощность потребителей которой составляет наибольшую величину среди заявленных мощностей потребителей всех территориальных сетевых организаций, в границах которых определена зона деятельности заменяемого гарантирующего поставщика.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701"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28.05.2015 N 508)</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уполномоченного федерального органа;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федерального органа исполнительной власти в области регулирования тарифов.</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227 в ред. </w:t>
      </w:r>
      <w:hyperlink r:id="rId702"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30.12.2012 N 1482)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17" w:name="Par1903"/>
      <w:bookmarkEnd w:id="217"/>
      <w:r>
        <w:rPr>
          <w:rFonts w:ascii="Arial" w:hAnsi="Arial" w:cs="Arial"/>
          <w:sz w:val="20"/>
          <w:szCs w:val="20"/>
        </w:rPr>
        <w:t xml:space="preserve">227(1). В случае заключения гарантирующим поставщиком, зоны деятельности которого расположены на территориях нескольких субъектов Российской Федерации, за исключением территориальной сетевой организации, статус гарантирующего поставщика которой присвоен в соответствии с </w:t>
      </w:r>
      <w:hyperlink w:anchor="Par1725" w:history="1">
        <w:r>
          <w:rPr>
            <w:rFonts w:ascii="Arial" w:hAnsi="Arial" w:cs="Arial"/>
            <w:color w:val="0000FF"/>
            <w:sz w:val="20"/>
            <w:szCs w:val="20"/>
          </w:rPr>
          <w:t>пунктом 205</w:t>
        </w:r>
      </w:hyperlink>
      <w:r>
        <w:rPr>
          <w:rFonts w:ascii="Arial" w:hAnsi="Arial" w:cs="Arial"/>
          <w:sz w:val="20"/>
          <w:szCs w:val="20"/>
        </w:rPr>
        <w:t xml:space="preserve"> настоящего документа, соглашения о передаче функций гарантирующего поставщика в зоне деятельности, расположенной на территории субъекта Российской Федерации, с коммерческой организацией, соответствующей требованиям, указанным в </w:t>
      </w:r>
      <w:hyperlink w:anchor="Par1758" w:history="1">
        <w:r>
          <w:rPr>
            <w:rFonts w:ascii="Arial" w:hAnsi="Arial" w:cs="Arial"/>
            <w:color w:val="0000FF"/>
            <w:sz w:val="20"/>
            <w:szCs w:val="20"/>
          </w:rPr>
          <w:t>абзацах пятом</w:t>
        </w:r>
      </w:hyperlink>
      <w:r>
        <w:rPr>
          <w:rFonts w:ascii="Arial" w:hAnsi="Arial" w:cs="Arial"/>
          <w:sz w:val="20"/>
          <w:szCs w:val="20"/>
        </w:rPr>
        <w:t xml:space="preserve"> - </w:t>
      </w:r>
      <w:hyperlink w:anchor="Par1761" w:history="1">
        <w:r>
          <w:rPr>
            <w:rFonts w:ascii="Arial" w:hAnsi="Arial" w:cs="Arial"/>
            <w:color w:val="0000FF"/>
            <w:sz w:val="20"/>
            <w:szCs w:val="20"/>
          </w:rPr>
          <w:t>седьмом</w:t>
        </w:r>
      </w:hyperlink>
      <w:r>
        <w:rPr>
          <w:rFonts w:ascii="Arial" w:hAnsi="Arial" w:cs="Arial"/>
          <w:sz w:val="20"/>
          <w:szCs w:val="20"/>
        </w:rPr>
        <w:t xml:space="preserve"> и </w:t>
      </w:r>
      <w:hyperlink w:anchor="Par1764" w:history="1">
        <w:r>
          <w:rPr>
            <w:rFonts w:ascii="Arial" w:hAnsi="Arial" w:cs="Arial"/>
            <w:color w:val="0000FF"/>
            <w:sz w:val="20"/>
            <w:szCs w:val="20"/>
          </w:rPr>
          <w:t>десятом пункта 207</w:t>
        </w:r>
      </w:hyperlink>
      <w:r>
        <w:rPr>
          <w:rFonts w:ascii="Arial" w:hAnsi="Arial" w:cs="Arial"/>
          <w:sz w:val="20"/>
          <w:szCs w:val="20"/>
        </w:rPr>
        <w:t xml:space="preserve"> настоящего документа, при условии, что в течение 1 года до дня заключения соглашения о передаче функций гарантирующего поставщика в отношении такой организации не проводились процедуры, применяемые в деле о банкротстве, в том числе введение наблюдения, финансового оздоровления, внешнего управления, признание должника банкротом и открытие конкурсного производства, и такая организация на дату заключения соглашения о передаче функций гарантирующего поставщика и в течение 3 предшествующих лет не была включена в реестр недобросовестных участников конкурса (далее соответственно - организация, с которой заключено соглашение о передаче функций гарантирующего поставщика, соглашение о передаче функций гарантирующего поставщика), статус гарантирующего поставщика организации, с которой заключено соглашение о передаче функций гарантирующего поставщика, в указанной зоне деятельности присваивается решением уполномоченного федерального органа.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Решение уполномоченного федерального органа, указанное в </w:t>
      </w:r>
      <w:hyperlink w:anchor="Par1903" w:history="1">
        <w:r>
          <w:rPr>
            <w:rFonts w:ascii="Arial" w:hAnsi="Arial" w:cs="Arial"/>
            <w:color w:val="0000FF"/>
            <w:sz w:val="20"/>
            <w:szCs w:val="20"/>
          </w:rPr>
          <w:t>абзаце первом</w:t>
        </w:r>
      </w:hyperlink>
      <w:r>
        <w:rPr>
          <w:rFonts w:ascii="Arial" w:hAnsi="Arial" w:cs="Arial"/>
          <w:sz w:val="20"/>
          <w:szCs w:val="20"/>
        </w:rPr>
        <w:t xml:space="preserve"> настоящего пункта, может быть принято не позднее 31 декабря 2020 г.</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227(1) введен </w:t>
      </w:r>
      <w:hyperlink r:id="rId703"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22.06.2019 N 800)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18" w:name="Par1906"/>
      <w:bookmarkEnd w:id="218"/>
      <w:r>
        <w:rPr>
          <w:rFonts w:ascii="Arial" w:hAnsi="Arial" w:cs="Arial"/>
          <w:sz w:val="20"/>
          <w:szCs w:val="20"/>
        </w:rPr>
        <w:t>227(2). Заверенная уполномоченными лицами сторон копия соглашения о передаче функций гарантирующего поставщика не позднее 2 рабочих дней со дня его подписания представляется гарантирующим поставщиком в уполномоченный федеральный орган, федеральный орган исполнительной власти в области государственного регулирования тарифов, совет рынка, орган исполнительной власти субъекта Российской Федерации в области государственного регулирования тарифов и уполномоченный орган субъекта Российской Федерации, на территории которого в соответствии с соглашением о передаче функций гарантирующего поставщика предусмотрена передача функций гарантирующего поставщика.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срок, указанный в </w:t>
      </w:r>
      <w:hyperlink w:anchor="Par1906" w:history="1">
        <w:r>
          <w:rPr>
            <w:rFonts w:ascii="Arial" w:hAnsi="Arial" w:cs="Arial"/>
            <w:color w:val="0000FF"/>
            <w:sz w:val="20"/>
            <w:szCs w:val="20"/>
          </w:rPr>
          <w:t>абзаце первом</w:t>
        </w:r>
      </w:hyperlink>
      <w:r>
        <w:rPr>
          <w:rFonts w:ascii="Arial" w:hAnsi="Arial" w:cs="Arial"/>
          <w:sz w:val="20"/>
          <w:szCs w:val="20"/>
        </w:rPr>
        <w:t xml:space="preserve"> настоящего пункта, организация, с которой заключено соглашение о передаче функций гарантирующего поставщика, представляет в федеральный орган исполнительной власти в области государственного регулирования тарифов сведения, указанные в </w:t>
      </w:r>
      <w:hyperlink w:anchor="Par1812" w:history="1">
        <w:r>
          <w:rPr>
            <w:rFonts w:ascii="Arial" w:hAnsi="Arial" w:cs="Arial"/>
            <w:color w:val="0000FF"/>
            <w:sz w:val="20"/>
            <w:szCs w:val="20"/>
          </w:rPr>
          <w:t>абзацах седьмом</w:t>
        </w:r>
      </w:hyperlink>
      <w:r>
        <w:rPr>
          <w:rFonts w:ascii="Arial" w:hAnsi="Arial" w:cs="Arial"/>
          <w:sz w:val="20"/>
          <w:szCs w:val="20"/>
        </w:rPr>
        <w:t xml:space="preserve"> и </w:t>
      </w:r>
      <w:hyperlink w:anchor="Par1814" w:history="1">
        <w:r>
          <w:rPr>
            <w:rFonts w:ascii="Arial" w:hAnsi="Arial" w:cs="Arial"/>
            <w:color w:val="0000FF"/>
            <w:sz w:val="20"/>
            <w:szCs w:val="20"/>
          </w:rPr>
          <w:t>восьмом пункта 213</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Федеральный орган исполнительной власти в области государственного регулирования тарифов не позднее 15 рабочих дней со дня получения им в соответствии с </w:t>
      </w:r>
      <w:hyperlink w:anchor="Par1906" w:history="1">
        <w:r>
          <w:rPr>
            <w:rFonts w:ascii="Arial" w:hAnsi="Arial" w:cs="Arial"/>
            <w:color w:val="0000FF"/>
            <w:sz w:val="20"/>
            <w:szCs w:val="20"/>
          </w:rPr>
          <w:t>абзацем первым</w:t>
        </w:r>
      </w:hyperlink>
      <w:r>
        <w:rPr>
          <w:rFonts w:ascii="Arial" w:hAnsi="Arial" w:cs="Arial"/>
          <w:sz w:val="20"/>
          <w:szCs w:val="20"/>
        </w:rPr>
        <w:t xml:space="preserve"> настоящего пункта копии </w:t>
      </w:r>
      <w:r>
        <w:rPr>
          <w:rFonts w:ascii="Arial" w:hAnsi="Arial" w:cs="Arial"/>
          <w:sz w:val="20"/>
          <w:szCs w:val="20"/>
        </w:rPr>
        <w:lastRenderedPageBreak/>
        <w:t xml:space="preserve">соглашения о передаче функций гарантирующего поставщика направляет в уполномоченный федеральный орган данные о гарантирующем поставщике из федерального информационного реестра гарантирующих поставщиков и зонах их деятельности, а также информацию о соответствии организации, с которой заключено соглашение о передаче функций гарантирующего поставщика, требованию, предусмотренному </w:t>
      </w:r>
      <w:hyperlink w:anchor="Par1764" w:history="1">
        <w:r>
          <w:rPr>
            <w:rFonts w:ascii="Arial" w:hAnsi="Arial" w:cs="Arial"/>
            <w:color w:val="0000FF"/>
            <w:sz w:val="20"/>
            <w:szCs w:val="20"/>
          </w:rPr>
          <w:t>абзацем десятым пункта 207</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19" w:name="Par1909"/>
      <w:bookmarkEnd w:id="219"/>
      <w:r>
        <w:rPr>
          <w:rFonts w:ascii="Arial" w:hAnsi="Arial" w:cs="Arial"/>
          <w:sz w:val="20"/>
          <w:szCs w:val="20"/>
        </w:rPr>
        <w:t xml:space="preserve">Орган исполнительной власти субъекта Российской Федерации в области государственного регулирования тарифов, на территории которого в соответствии с соглашением о передаче функций гарантирующего поставщика предусмотрена передача функций гарантирующего поставщика, не позднее 15 рабочих дней со дня получения им в соответствии с </w:t>
      </w:r>
      <w:hyperlink w:anchor="Par1906" w:history="1">
        <w:r>
          <w:rPr>
            <w:rFonts w:ascii="Arial" w:hAnsi="Arial" w:cs="Arial"/>
            <w:color w:val="0000FF"/>
            <w:sz w:val="20"/>
            <w:szCs w:val="20"/>
          </w:rPr>
          <w:t>абзацем первым</w:t>
        </w:r>
      </w:hyperlink>
      <w:r>
        <w:rPr>
          <w:rFonts w:ascii="Arial" w:hAnsi="Arial" w:cs="Arial"/>
          <w:sz w:val="20"/>
          <w:szCs w:val="20"/>
        </w:rPr>
        <w:t xml:space="preserve"> настоящего пункта копии соглашения о передаче функций гарантирующего поставщика, направляет в уполномоченный федеральный орган перечень сетевых организаций, с которыми гарантирующий поставщик заключил договоры оказания услуг по передаче электрической энергии в интересах обслуживаемых им в указанной зоне деятельности потребителей.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Совет рынка не позднее 15 рабочих дней со дня получения им в соответствии с </w:t>
      </w:r>
      <w:hyperlink w:anchor="Par1906" w:history="1">
        <w:r>
          <w:rPr>
            <w:rFonts w:ascii="Arial" w:hAnsi="Arial" w:cs="Arial"/>
            <w:color w:val="0000FF"/>
            <w:sz w:val="20"/>
            <w:szCs w:val="20"/>
          </w:rPr>
          <w:t>абзацем первым</w:t>
        </w:r>
      </w:hyperlink>
      <w:r>
        <w:rPr>
          <w:rFonts w:ascii="Arial" w:hAnsi="Arial" w:cs="Arial"/>
          <w:sz w:val="20"/>
          <w:szCs w:val="20"/>
        </w:rPr>
        <w:t xml:space="preserve"> настоящего пункта копии соглашения о передаче функций гарантирующего поставщика направляет в уполномоченный федеральный орган сведения о задолженности (на дату их формирования) гарантирующего поставщика по оплате услуг, оказанных на оптовом рынке организациями коммерческой и технологической инфраструктуры оптового рынка, электрической энергии и мощности, приобретенных им на оптовом рынке по договорам, по которым расчет денежных обязательств сторон производится организациями коммерческой инфраструктуры оптового рынка, а также соответствующий реестр кредиторов с разбивкой суммы кредиторской задолженности гарантирующего поставщика по кредиторам.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срок, указанный в </w:t>
      </w:r>
      <w:hyperlink w:anchor="Par1906" w:history="1">
        <w:r>
          <w:rPr>
            <w:rFonts w:ascii="Arial" w:hAnsi="Arial" w:cs="Arial"/>
            <w:color w:val="0000FF"/>
            <w:sz w:val="20"/>
            <w:szCs w:val="20"/>
          </w:rPr>
          <w:t>абзаце первом</w:t>
        </w:r>
      </w:hyperlink>
      <w:r>
        <w:rPr>
          <w:rFonts w:ascii="Arial" w:hAnsi="Arial" w:cs="Arial"/>
          <w:sz w:val="20"/>
          <w:szCs w:val="20"/>
        </w:rPr>
        <w:t xml:space="preserve"> настоящего пункта, организация, с которой заключено соглашение о передаче функций гарантирующего поставщика, представляет в уполномоченный федеральный орган следующие сведения и документы (оригиналы или заверенные уполномоченным лицом организации копии):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20" w:name="Par1912"/>
      <w:bookmarkEnd w:id="220"/>
      <w:r>
        <w:rPr>
          <w:rFonts w:ascii="Arial" w:hAnsi="Arial" w:cs="Arial"/>
          <w:sz w:val="20"/>
          <w:szCs w:val="20"/>
        </w:rPr>
        <w:t>заявление о получении статуса гарантирующего поставщика в соответствующей зоне деятельности, содержащее наименование организации, место ее нахождения, идентификационный номер налогоплательщика, государственный регистрационный номер записи о государственной регистрации организации;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расчет показателей финансового состояния организации в соответствии с </w:t>
      </w:r>
      <w:hyperlink w:anchor="Par2569" w:history="1">
        <w:r>
          <w:rPr>
            <w:rFonts w:ascii="Arial" w:hAnsi="Arial" w:cs="Arial"/>
            <w:color w:val="0000FF"/>
            <w:sz w:val="20"/>
            <w:szCs w:val="20"/>
          </w:rPr>
          <w:t>приложением N 1</w:t>
        </w:r>
      </w:hyperlink>
      <w:r>
        <w:rPr>
          <w:rFonts w:ascii="Arial" w:hAnsi="Arial" w:cs="Arial"/>
          <w:sz w:val="20"/>
          <w:szCs w:val="20"/>
        </w:rPr>
        <w:t xml:space="preserve"> к настоящему документу по результатам последнего отчетного периода, предшествующего дню подачи заявления, указанного в </w:t>
      </w:r>
      <w:hyperlink w:anchor="Par1912" w:history="1">
        <w:r>
          <w:rPr>
            <w:rFonts w:ascii="Arial" w:hAnsi="Arial" w:cs="Arial"/>
            <w:color w:val="0000FF"/>
            <w:sz w:val="20"/>
            <w:szCs w:val="20"/>
          </w:rPr>
          <w:t>абзаце седьмом</w:t>
        </w:r>
      </w:hyperlink>
      <w:r>
        <w:rPr>
          <w:rFonts w:ascii="Arial" w:hAnsi="Arial" w:cs="Arial"/>
          <w:sz w:val="20"/>
          <w:szCs w:val="20"/>
        </w:rPr>
        <w:t xml:space="preserve"> настоящего пункта;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сведения из Единого федерального реестра сведений о банкротстве, подтверждающие, что в течение 1 года до дня подачи заявления, указанного в </w:t>
      </w:r>
      <w:hyperlink w:anchor="Par1912" w:history="1">
        <w:r>
          <w:rPr>
            <w:rFonts w:ascii="Arial" w:hAnsi="Arial" w:cs="Arial"/>
            <w:color w:val="0000FF"/>
            <w:sz w:val="20"/>
            <w:szCs w:val="20"/>
          </w:rPr>
          <w:t>абзаце седьмом</w:t>
        </w:r>
      </w:hyperlink>
      <w:r>
        <w:rPr>
          <w:rFonts w:ascii="Arial" w:hAnsi="Arial" w:cs="Arial"/>
          <w:sz w:val="20"/>
          <w:szCs w:val="20"/>
        </w:rPr>
        <w:t xml:space="preserve"> настоящего пункта, в отношении организации, с которой заключено соглашение о передаче функций гарантирующего поставщика, не проводились процедуры, применяемые в деле о банкротстве;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бухгалтерская (финансовая), статистическая отчетность и налоговая отчетность организации за предыдущий год и отчетный период, предшествующий дню подачи заявления, указанного в </w:t>
      </w:r>
      <w:hyperlink w:anchor="Par1912" w:history="1">
        <w:r>
          <w:rPr>
            <w:rFonts w:ascii="Arial" w:hAnsi="Arial" w:cs="Arial"/>
            <w:color w:val="0000FF"/>
            <w:sz w:val="20"/>
            <w:szCs w:val="20"/>
          </w:rPr>
          <w:t>абзаце седьмом</w:t>
        </w:r>
      </w:hyperlink>
      <w:r>
        <w:rPr>
          <w:rFonts w:ascii="Arial" w:hAnsi="Arial" w:cs="Arial"/>
          <w:sz w:val="20"/>
          <w:szCs w:val="20"/>
        </w:rPr>
        <w:t xml:space="preserve"> настоящего пункта;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документы, предусмотренные </w:t>
      </w:r>
      <w:hyperlink w:anchor="Par1805" w:history="1">
        <w:r>
          <w:rPr>
            <w:rFonts w:ascii="Arial" w:hAnsi="Arial" w:cs="Arial"/>
            <w:color w:val="0000FF"/>
            <w:sz w:val="20"/>
            <w:szCs w:val="20"/>
          </w:rPr>
          <w:t>абзацами вторым</w:t>
        </w:r>
      </w:hyperlink>
      <w:r>
        <w:rPr>
          <w:rFonts w:ascii="Arial" w:hAnsi="Arial" w:cs="Arial"/>
          <w:sz w:val="20"/>
          <w:szCs w:val="20"/>
        </w:rPr>
        <w:t xml:space="preserve">, </w:t>
      </w:r>
      <w:hyperlink w:anchor="Par1806" w:history="1">
        <w:r>
          <w:rPr>
            <w:rFonts w:ascii="Arial" w:hAnsi="Arial" w:cs="Arial"/>
            <w:color w:val="0000FF"/>
            <w:sz w:val="20"/>
            <w:szCs w:val="20"/>
          </w:rPr>
          <w:t>третьим</w:t>
        </w:r>
      </w:hyperlink>
      <w:r>
        <w:rPr>
          <w:rFonts w:ascii="Arial" w:hAnsi="Arial" w:cs="Arial"/>
          <w:sz w:val="20"/>
          <w:szCs w:val="20"/>
        </w:rPr>
        <w:t xml:space="preserve">, </w:t>
      </w:r>
      <w:hyperlink w:anchor="Par1812" w:history="1">
        <w:r>
          <w:rPr>
            <w:rFonts w:ascii="Arial" w:hAnsi="Arial" w:cs="Arial"/>
            <w:color w:val="0000FF"/>
            <w:sz w:val="20"/>
            <w:szCs w:val="20"/>
          </w:rPr>
          <w:t>седьмым</w:t>
        </w:r>
      </w:hyperlink>
      <w:r>
        <w:rPr>
          <w:rFonts w:ascii="Arial" w:hAnsi="Arial" w:cs="Arial"/>
          <w:sz w:val="20"/>
          <w:szCs w:val="20"/>
        </w:rPr>
        <w:t xml:space="preserve"> и </w:t>
      </w:r>
      <w:hyperlink w:anchor="Par1814" w:history="1">
        <w:r>
          <w:rPr>
            <w:rFonts w:ascii="Arial" w:hAnsi="Arial" w:cs="Arial"/>
            <w:color w:val="0000FF"/>
            <w:sz w:val="20"/>
            <w:szCs w:val="20"/>
          </w:rPr>
          <w:t>восьмым пункта 213</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срок, указанный в </w:t>
      </w:r>
      <w:hyperlink w:anchor="Par1906" w:history="1">
        <w:r>
          <w:rPr>
            <w:rFonts w:ascii="Arial" w:hAnsi="Arial" w:cs="Arial"/>
            <w:color w:val="0000FF"/>
            <w:sz w:val="20"/>
            <w:szCs w:val="20"/>
          </w:rPr>
          <w:t>абзаце первом</w:t>
        </w:r>
      </w:hyperlink>
      <w:r>
        <w:rPr>
          <w:rFonts w:ascii="Arial" w:hAnsi="Arial" w:cs="Arial"/>
          <w:sz w:val="20"/>
          <w:szCs w:val="20"/>
        </w:rPr>
        <w:t xml:space="preserve"> настоящего пункта, гарантирующий поставщик представляет в уполномоченный федеральный орган следующие сведения и документы (оригиналы или заверенные уполномоченным лицом организации копии):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заявление об отказе от осуществления функций гарантирующего поставщика в соответствующей зоне деятельности со дня присвоения статуса гарантирующего поставщика организации, с которой заключено соглашение о передаче функций гарантирующего поставщика в такой зоне деятельности;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уведомления об отказе от исполнения договоров оказания услуг по передаче электрической энергии, заключенных с включенными в перечень, указанный в </w:t>
      </w:r>
      <w:hyperlink w:anchor="Par1909" w:history="1">
        <w:r>
          <w:rPr>
            <w:rFonts w:ascii="Arial" w:hAnsi="Arial" w:cs="Arial"/>
            <w:color w:val="0000FF"/>
            <w:sz w:val="20"/>
            <w:szCs w:val="20"/>
          </w:rPr>
          <w:t>абзаце четвертом</w:t>
        </w:r>
      </w:hyperlink>
      <w:r>
        <w:rPr>
          <w:rFonts w:ascii="Arial" w:hAnsi="Arial" w:cs="Arial"/>
          <w:sz w:val="20"/>
          <w:szCs w:val="20"/>
        </w:rPr>
        <w:t xml:space="preserve"> настоящего пункта, сетевыми организациями в интересах обслуживаемых гарантирующим поставщиком в соответствующей зоне деятельности потребителей, направленные в адрес таких сетевых организаций в соответствии с </w:t>
      </w:r>
      <w:hyperlink r:id="rId704" w:history="1">
        <w:r>
          <w:rPr>
            <w:rFonts w:ascii="Arial" w:hAnsi="Arial" w:cs="Arial"/>
            <w:color w:val="0000FF"/>
            <w:sz w:val="20"/>
            <w:szCs w:val="20"/>
          </w:rPr>
          <w:t xml:space="preserve">пунктом </w:t>
        </w:r>
        <w:r>
          <w:rPr>
            <w:rFonts w:ascii="Arial" w:hAnsi="Arial" w:cs="Arial"/>
            <w:color w:val="0000FF"/>
            <w:sz w:val="20"/>
            <w:szCs w:val="20"/>
          </w:rPr>
          <w:lastRenderedPageBreak/>
          <w:t>15(5)</w:t>
        </w:r>
      </w:hyperlink>
      <w:r>
        <w:rPr>
          <w:rFonts w:ascii="Arial" w:hAnsi="Arial" w:cs="Arial"/>
          <w:sz w:val="20"/>
          <w:szCs w:val="20"/>
        </w:rPr>
        <w:t xml:space="preserve"> Правил недискриминационного доступа к услугам по передаче электрической энергии и оказания этих услуг;</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21" w:name="Par1920"/>
      <w:bookmarkEnd w:id="221"/>
      <w:r>
        <w:rPr>
          <w:rFonts w:ascii="Arial" w:hAnsi="Arial" w:cs="Arial"/>
          <w:sz w:val="20"/>
          <w:szCs w:val="20"/>
        </w:rPr>
        <w:t xml:space="preserve">счета об оплате услуг по передаче электрической энергии сетевых организаций, включенных в указанный в </w:t>
      </w:r>
      <w:hyperlink w:anchor="Par1909" w:history="1">
        <w:r>
          <w:rPr>
            <w:rFonts w:ascii="Arial" w:hAnsi="Arial" w:cs="Arial"/>
            <w:color w:val="0000FF"/>
            <w:sz w:val="20"/>
            <w:szCs w:val="20"/>
          </w:rPr>
          <w:t>абзаце четвертом</w:t>
        </w:r>
      </w:hyperlink>
      <w:r>
        <w:rPr>
          <w:rFonts w:ascii="Arial" w:hAnsi="Arial" w:cs="Arial"/>
          <w:sz w:val="20"/>
          <w:szCs w:val="20"/>
        </w:rPr>
        <w:t xml:space="preserve"> настоящего пункта перечень, предусмотренные </w:t>
      </w:r>
      <w:hyperlink r:id="rId705" w:history="1">
        <w:r>
          <w:rPr>
            <w:rFonts w:ascii="Arial" w:hAnsi="Arial" w:cs="Arial"/>
            <w:color w:val="0000FF"/>
            <w:sz w:val="20"/>
            <w:szCs w:val="20"/>
          </w:rPr>
          <w:t>пунктом 15(5)</w:t>
        </w:r>
      </w:hyperlink>
      <w:r>
        <w:rPr>
          <w:rFonts w:ascii="Arial" w:hAnsi="Arial" w:cs="Arial"/>
          <w:sz w:val="20"/>
          <w:szCs w:val="20"/>
        </w:rPr>
        <w:t xml:space="preserve"> Правил недискриминационного доступа к услугам по передаче электрической энергии и оказания этих услуг, а также документы, подтверждающие оплату таких счетов.</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227(2) введен </w:t>
      </w:r>
      <w:hyperlink r:id="rId706"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22.06.2019 N 800)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22" w:name="Par1922"/>
      <w:bookmarkEnd w:id="222"/>
      <w:r>
        <w:rPr>
          <w:rFonts w:ascii="Arial" w:hAnsi="Arial" w:cs="Arial"/>
          <w:sz w:val="20"/>
          <w:szCs w:val="20"/>
        </w:rPr>
        <w:t xml:space="preserve">227(3). Уполномоченный федеральный орган в течение 15 рабочих дней со дня получения указанных в </w:t>
      </w:r>
      <w:hyperlink w:anchor="Par1906" w:history="1">
        <w:r>
          <w:rPr>
            <w:rFonts w:ascii="Arial" w:hAnsi="Arial" w:cs="Arial"/>
            <w:color w:val="0000FF"/>
            <w:sz w:val="20"/>
            <w:szCs w:val="20"/>
          </w:rPr>
          <w:t>пункте 227(2)</w:t>
        </w:r>
      </w:hyperlink>
      <w:r>
        <w:rPr>
          <w:rFonts w:ascii="Arial" w:hAnsi="Arial" w:cs="Arial"/>
          <w:sz w:val="20"/>
          <w:szCs w:val="20"/>
        </w:rPr>
        <w:t xml:space="preserve"> настоящего документа сведений и документов принимает решение о соответствии (несоответствии) организации, с которой заключено соглашение о передаче функций гарантирующего поставщика, требованиям, предусмотренным </w:t>
      </w:r>
      <w:hyperlink w:anchor="Par1758" w:history="1">
        <w:r>
          <w:rPr>
            <w:rFonts w:ascii="Arial" w:hAnsi="Arial" w:cs="Arial"/>
            <w:color w:val="0000FF"/>
            <w:sz w:val="20"/>
            <w:szCs w:val="20"/>
          </w:rPr>
          <w:t>абзацами пятым</w:t>
        </w:r>
      </w:hyperlink>
      <w:r>
        <w:rPr>
          <w:rFonts w:ascii="Arial" w:hAnsi="Arial" w:cs="Arial"/>
          <w:sz w:val="20"/>
          <w:szCs w:val="20"/>
        </w:rPr>
        <w:t xml:space="preserve"> - </w:t>
      </w:r>
      <w:hyperlink w:anchor="Par1761" w:history="1">
        <w:r>
          <w:rPr>
            <w:rFonts w:ascii="Arial" w:hAnsi="Arial" w:cs="Arial"/>
            <w:color w:val="0000FF"/>
            <w:sz w:val="20"/>
            <w:szCs w:val="20"/>
          </w:rPr>
          <w:t>седьмым</w:t>
        </w:r>
      </w:hyperlink>
      <w:r>
        <w:rPr>
          <w:rFonts w:ascii="Arial" w:hAnsi="Arial" w:cs="Arial"/>
          <w:sz w:val="20"/>
          <w:szCs w:val="20"/>
        </w:rPr>
        <w:t xml:space="preserve"> и </w:t>
      </w:r>
      <w:hyperlink w:anchor="Par1764" w:history="1">
        <w:r>
          <w:rPr>
            <w:rFonts w:ascii="Arial" w:hAnsi="Arial" w:cs="Arial"/>
            <w:color w:val="0000FF"/>
            <w:sz w:val="20"/>
            <w:szCs w:val="20"/>
          </w:rPr>
          <w:t>десятым пункта 207</w:t>
        </w:r>
      </w:hyperlink>
      <w:r>
        <w:rPr>
          <w:rFonts w:ascii="Arial" w:hAnsi="Arial" w:cs="Arial"/>
          <w:sz w:val="20"/>
          <w:szCs w:val="20"/>
        </w:rPr>
        <w:t xml:space="preserve"> настоящего документа, а также следующим требованиям: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23" w:name="Par1923"/>
      <w:bookmarkEnd w:id="223"/>
      <w:r>
        <w:rPr>
          <w:rFonts w:ascii="Arial" w:hAnsi="Arial" w:cs="Arial"/>
          <w:sz w:val="20"/>
          <w:szCs w:val="20"/>
        </w:rPr>
        <w:t>в течение 1 года до дня заключения соглашения о передаче функций гарантирующего поставщика в отношении организации, с которой заключено соглашение о передаче функций гарантирующего поставщика, не проводились процедуры, применяемые в деле о банкротстве;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24" w:name="Par1924"/>
      <w:bookmarkEnd w:id="224"/>
      <w:r>
        <w:rPr>
          <w:rFonts w:ascii="Arial" w:hAnsi="Arial" w:cs="Arial"/>
          <w:sz w:val="20"/>
          <w:szCs w:val="20"/>
        </w:rPr>
        <w:t>организация, с которой заключено соглашение о передаче функций гарантирующего поставщика, на день заключения соглашения о передаче функций гарантирующего поставщика и в течение предшествующих 3 лет не была включена в реестр недобросовестных участников конкурсов.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Организация, с которой заключено соглашение о передаче функций гарантирующего поставщика и соответствие которой требованиям, предусмотренным </w:t>
      </w:r>
      <w:hyperlink w:anchor="Par1758" w:history="1">
        <w:r>
          <w:rPr>
            <w:rFonts w:ascii="Arial" w:hAnsi="Arial" w:cs="Arial"/>
            <w:color w:val="0000FF"/>
            <w:sz w:val="20"/>
            <w:szCs w:val="20"/>
          </w:rPr>
          <w:t>абзацами пятым</w:t>
        </w:r>
      </w:hyperlink>
      <w:r>
        <w:rPr>
          <w:rFonts w:ascii="Arial" w:hAnsi="Arial" w:cs="Arial"/>
          <w:sz w:val="20"/>
          <w:szCs w:val="20"/>
        </w:rPr>
        <w:t xml:space="preserve"> - </w:t>
      </w:r>
      <w:hyperlink w:anchor="Par1761" w:history="1">
        <w:r>
          <w:rPr>
            <w:rFonts w:ascii="Arial" w:hAnsi="Arial" w:cs="Arial"/>
            <w:color w:val="0000FF"/>
            <w:sz w:val="20"/>
            <w:szCs w:val="20"/>
          </w:rPr>
          <w:t>седьмым</w:t>
        </w:r>
      </w:hyperlink>
      <w:r>
        <w:rPr>
          <w:rFonts w:ascii="Arial" w:hAnsi="Arial" w:cs="Arial"/>
          <w:sz w:val="20"/>
          <w:szCs w:val="20"/>
        </w:rPr>
        <w:t xml:space="preserve"> и </w:t>
      </w:r>
      <w:hyperlink w:anchor="Par1764" w:history="1">
        <w:r>
          <w:rPr>
            <w:rFonts w:ascii="Arial" w:hAnsi="Arial" w:cs="Arial"/>
            <w:color w:val="0000FF"/>
            <w:sz w:val="20"/>
            <w:szCs w:val="20"/>
          </w:rPr>
          <w:t>десятым пункта 207</w:t>
        </w:r>
      </w:hyperlink>
      <w:r>
        <w:rPr>
          <w:rFonts w:ascii="Arial" w:hAnsi="Arial" w:cs="Arial"/>
          <w:sz w:val="20"/>
          <w:szCs w:val="20"/>
        </w:rPr>
        <w:t xml:space="preserve"> настоящего документа, </w:t>
      </w:r>
      <w:hyperlink w:anchor="Par1923" w:history="1">
        <w:r>
          <w:rPr>
            <w:rFonts w:ascii="Arial" w:hAnsi="Arial" w:cs="Arial"/>
            <w:color w:val="0000FF"/>
            <w:sz w:val="20"/>
            <w:szCs w:val="20"/>
          </w:rPr>
          <w:t>абзацами вторым</w:t>
        </w:r>
      </w:hyperlink>
      <w:r>
        <w:rPr>
          <w:rFonts w:ascii="Arial" w:hAnsi="Arial" w:cs="Arial"/>
          <w:sz w:val="20"/>
          <w:szCs w:val="20"/>
        </w:rPr>
        <w:t xml:space="preserve"> и </w:t>
      </w:r>
      <w:hyperlink w:anchor="Par1924" w:history="1">
        <w:r>
          <w:rPr>
            <w:rFonts w:ascii="Arial" w:hAnsi="Arial" w:cs="Arial"/>
            <w:color w:val="0000FF"/>
            <w:sz w:val="20"/>
            <w:szCs w:val="20"/>
          </w:rPr>
          <w:t>третьим</w:t>
        </w:r>
      </w:hyperlink>
      <w:r>
        <w:rPr>
          <w:rFonts w:ascii="Arial" w:hAnsi="Arial" w:cs="Arial"/>
          <w:sz w:val="20"/>
          <w:szCs w:val="20"/>
        </w:rPr>
        <w:t xml:space="preserve"> настоящего пункта, подтверждено решением уполномоченного федерального органа, не позднее 10 рабочих дней со дня принятия указанного решения обязана: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25" w:name="Par1926"/>
      <w:bookmarkEnd w:id="225"/>
      <w:r>
        <w:rPr>
          <w:rFonts w:ascii="Arial" w:hAnsi="Arial" w:cs="Arial"/>
          <w:sz w:val="20"/>
          <w:szCs w:val="20"/>
        </w:rPr>
        <w:t>инициировать выполнение мероприятий, предусмотренных Правилами оптового рынка электрической энергии и мощности и договором о присоединении к торговой системе оптового рынка для регистрации группы (групп) точек поставки, соответствующих зоне деятельности гарантирующего поставщика, а также для осуществления торговли электрической энергией и мощностью на оптовом рынке с использованием такой группы (групп) точек поставки;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26" w:name="Par1927"/>
      <w:bookmarkEnd w:id="226"/>
      <w:r>
        <w:rPr>
          <w:rFonts w:ascii="Arial" w:hAnsi="Arial" w:cs="Arial"/>
          <w:sz w:val="20"/>
          <w:szCs w:val="20"/>
        </w:rPr>
        <w:t>обратиться в установленном порядке в орган исполнительной власти субъекта Российской Федерации в области государственного регулирования тарифов для установления регулируемых цен (тарифов), необходимых для осуществления организацией функций гарантирующего поставщика.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27" w:name="Par1928"/>
      <w:bookmarkEnd w:id="227"/>
      <w:r>
        <w:rPr>
          <w:rFonts w:ascii="Arial" w:hAnsi="Arial" w:cs="Arial"/>
          <w:sz w:val="20"/>
          <w:szCs w:val="20"/>
        </w:rPr>
        <w:t xml:space="preserve">Организация, с которой заключено соглашение о передаче функций гарантирующего поставщика, обязана представить в уполномоченный федеральный орган не позднее 20 рабочих дней со дня принятия им решения, указанного в </w:t>
      </w:r>
      <w:hyperlink w:anchor="Par1922" w:history="1">
        <w:r>
          <w:rPr>
            <w:rFonts w:ascii="Arial" w:hAnsi="Arial" w:cs="Arial"/>
            <w:color w:val="0000FF"/>
            <w:sz w:val="20"/>
            <w:szCs w:val="20"/>
          </w:rPr>
          <w:t>абзаце первом</w:t>
        </w:r>
      </w:hyperlink>
      <w:r>
        <w:rPr>
          <w:rFonts w:ascii="Arial" w:hAnsi="Arial" w:cs="Arial"/>
          <w:sz w:val="20"/>
          <w:szCs w:val="20"/>
        </w:rPr>
        <w:t xml:space="preserve"> настоящего пункта, документы, подтверждающие выполнение указанных в </w:t>
      </w:r>
      <w:hyperlink w:anchor="Par1926" w:history="1">
        <w:r>
          <w:rPr>
            <w:rFonts w:ascii="Arial" w:hAnsi="Arial" w:cs="Arial"/>
            <w:color w:val="0000FF"/>
            <w:sz w:val="20"/>
            <w:szCs w:val="20"/>
          </w:rPr>
          <w:t>абзацах пятом</w:t>
        </w:r>
      </w:hyperlink>
      <w:r>
        <w:rPr>
          <w:rFonts w:ascii="Arial" w:hAnsi="Arial" w:cs="Arial"/>
          <w:sz w:val="20"/>
          <w:szCs w:val="20"/>
        </w:rPr>
        <w:t xml:space="preserve"> и </w:t>
      </w:r>
      <w:hyperlink w:anchor="Par1927" w:history="1">
        <w:r>
          <w:rPr>
            <w:rFonts w:ascii="Arial" w:hAnsi="Arial" w:cs="Arial"/>
            <w:color w:val="0000FF"/>
            <w:sz w:val="20"/>
            <w:szCs w:val="20"/>
          </w:rPr>
          <w:t>шестом</w:t>
        </w:r>
      </w:hyperlink>
      <w:r>
        <w:rPr>
          <w:rFonts w:ascii="Arial" w:hAnsi="Arial" w:cs="Arial"/>
          <w:sz w:val="20"/>
          <w:szCs w:val="20"/>
        </w:rPr>
        <w:t xml:space="preserve"> настоящего пункта требований.</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227(3) введен </w:t>
      </w:r>
      <w:hyperlink r:id="rId707"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22.06.2019 N 800)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28" w:name="Par1930"/>
      <w:bookmarkEnd w:id="228"/>
      <w:r>
        <w:rPr>
          <w:rFonts w:ascii="Arial" w:hAnsi="Arial" w:cs="Arial"/>
          <w:sz w:val="20"/>
          <w:szCs w:val="20"/>
        </w:rPr>
        <w:t xml:space="preserve">227(4). Уполномоченный федеральный орган в течение 3 рабочих дней со дня получения от организации, с которой заключено соглашение о передаче функций гарантирующего поставщика, документов, указанных в </w:t>
      </w:r>
      <w:hyperlink w:anchor="Par1928" w:history="1">
        <w:r>
          <w:rPr>
            <w:rFonts w:ascii="Arial" w:hAnsi="Arial" w:cs="Arial"/>
            <w:color w:val="0000FF"/>
            <w:sz w:val="20"/>
            <w:szCs w:val="20"/>
          </w:rPr>
          <w:t>абзаце седьмом пункта 227(3)</w:t>
        </w:r>
      </w:hyperlink>
      <w:r>
        <w:rPr>
          <w:rFonts w:ascii="Arial" w:hAnsi="Arial" w:cs="Arial"/>
          <w:sz w:val="20"/>
          <w:szCs w:val="20"/>
        </w:rPr>
        <w:t xml:space="preserve"> настоящего документа, принимает решение о присвоении организации, с которой заключено соглашение о передаче функций гарантирующего поставщика, статуса гарантирующего поставщика при условии отсутствия у гарантирующего поставщика задолженности по оплате услуг, оказанных на оптовом рынке организациями коммерческой и технологической инфраструктуры оптового рынка, электрической энергии и мощности, приобретенных им на оптовом рынке по договорам, по которым расчет денежных обязательств сторон производится организациями коммерческой инфраструктуры оптового рынка (на основании сведений, представленных советом рынка), а также оплаты им услуг по передаче электрической энергии, оказываемых включенными в перечень, указанный в </w:t>
      </w:r>
      <w:hyperlink w:anchor="Par1909" w:history="1">
        <w:r>
          <w:rPr>
            <w:rFonts w:ascii="Arial" w:hAnsi="Arial" w:cs="Arial"/>
            <w:color w:val="0000FF"/>
            <w:sz w:val="20"/>
            <w:szCs w:val="20"/>
          </w:rPr>
          <w:t>абзаце четвертом пункта 227(2)</w:t>
        </w:r>
      </w:hyperlink>
      <w:r>
        <w:rPr>
          <w:rFonts w:ascii="Arial" w:hAnsi="Arial" w:cs="Arial"/>
          <w:sz w:val="20"/>
          <w:szCs w:val="20"/>
        </w:rPr>
        <w:t xml:space="preserve"> настоящего документа, сетевыми организациями (на основании счетов об оплате указанных услуг, предусмотренных </w:t>
      </w:r>
      <w:hyperlink r:id="rId708" w:history="1">
        <w:r>
          <w:rPr>
            <w:rFonts w:ascii="Arial" w:hAnsi="Arial" w:cs="Arial"/>
            <w:color w:val="0000FF"/>
            <w:sz w:val="20"/>
            <w:szCs w:val="20"/>
          </w:rPr>
          <w:t>пунктом 15(5)</w:t>
        </w:r>
      </w:hyperlink>
      <w:r>
        <w:rPr>
          <w:rFonts w:ascii="Arial" w:hAnsi="Arial" w:cs="Arial"/>
          <w:sz w:val="20"/>
          <w:szCs w:val="20"/>
        </w:rPr>
        <w:t xml:space="preserve"> Правил недискриминационного доступа к услугам по передаче электрической энергии и оказания этих услуг, и документов, подтверждающих оплату таких счетов, представленных в соответствии с </w:t>
      </w:r>
      <w:hyperlink w:anchor="Par1920" w:history="1">
        <w:r>
          <w:rPr>
            <w:rFonts w:ascii="Arial" w:hAnsi="Arial" w:cs="Arial"/>
            <w:color w:val="0000FF"/>
            <w:sz w:val="20"/>
            <w:szCs w:val="20"/>
          </w:rPr>
          <w:t>абзацем пятнадцатым пункта 227(2)</w:t>
        </w:r>
      </w:hyperlink>
      <w:r>
        <w:rPr>
          <w:rFonts w:ascii="Arial" w:hAnsi="Arial" w:cs="Arial"/>
          <w:sz w:val="20"/>
          <w:szCs w:val="20"/>
        </w:rPr>
        <w:t xml:space="preserve"> настоящего документа). Указанное решение должно содержать:</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наименование организации, с которой заключено соглашение о передаче функций гарантирующего поставщика, с указанием зоны деятельности, в отношении которой организации присваивается статус гарантирующего поставщика;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наименование организации с указанием зоны деятельности, в отношении которой организация утрачивает статус гарантирующего поставщика со дня присвоения данного статуса организации, с которой заключено соглашение о передаче функций гарантирующего поставщика;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дату присвоения статуса гарантирующего поставщика организации, с которой заключено соглашение о передаче функций гарантирующего поставщика, - с 1-го числа месяца, следующего за месяцем, в котором уполномоченным федеральным органом принято решение, указанное в </w:t>
      </w:r>
      <w:hyperlink w:anchor="Par1930" w:history="1">
        <w:r>
          <w:rPr>
            <w:rFonts w:ascii="Arial" w:hAnsi="Arial" w:cs="Arial"/>
            <w:color w:val="0000FF"/>
            <w:sz w:val="20"/>
            <w:szCs w:val="20"/>
          </w:rPr>
          <w:t>абзаце первом</w:t>
        </w:r>
      </w:hyperlink>
      <w:r>
        <w:rPr>
          <w:rFonts w:ascii="Arial" w:hAnsi="Arial" w:cs="Arial"/>
          <w:sz w:val="20"/>
          <w:szCs w:val="20"/>
        </w:rPr>
        <w:t xml:space="preserve"> настоящего пункта, если такое решение принято не позднее 25 числа соответствующего месяца, и с 1-го числа второго месяца, следующего за месяцем, в котором принято решение, указанное в </w:t>
      </w:r>
      <w:hyperlink w:anchor="Par1930" w:history="1">
        <w:r>
          <w:rPr>
            <w:rFonts w:ascii="Arial" w:hAnsi="Arial" w:cs="Arial"/>
            <w:color w:val="0000FF"/>
            <w:sz w:val="20"/>
            <w:szCs w:val="20"/>
          </w:rPr>
          <w:t>абзаце первом</w:t>
        </w:r>
      </w:hyperlink>
      <w:r>
        <w:rPr>
          <w:rFonts w:ascii="Arial" w:hAnsi="Arial" w:cs="Arial"/>
          <w:sz w:val="20"/>
          <w:szCs w:val="20"/>
        </w:rPr>
        <w:t xml:space="preserve"> настоящего пункта, если оно принято после 25 числа соответствующего месяца.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Уполномоченный федеральный орган не позднее 3 рабочих дней со дня принятия решения о присвоении статуса гарантирующего поставщика организации, с которой заключено соглашение о передаче функций гарантирующего поставщика, публикует указанное решение на своем официальном сайте в сети "Интернет" и направляет копию указанного решения организации, с которой заключено соглашение о передаче функций гарантирующего поставщика, гарантирующему поставщику, заключившему с указанной организацией соглашение о передаче функций гарантирующего поставщика, в федеральный орган исполнительной власти в области регулирования тарифов, уполномоченный орган субъекта Российской Федерации, на территории которого располагается зона деятельности такого гарантирующего поставщика, совет рынка.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227(4) введен </w:t>
      </w:r>
      <w:hyperlink r:id="rId709"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22.06.2019 N 800)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228. Границы зоны деятельности гарантирующего поставщика изменяются: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29" w:name="Par1937"/>
      <w:bookmarkEnd w:id="229"/>
      <w:r>
        <w:rPr>
          <w:rFonts w:ascii="Arial" w:hAnsi="Arial" w:cs="Arial"/>
          <w:sz w:val="20"/>
          <w:szCs w:val="20"/>
        </w:rPr>
        <w:t xml:space="preserve">при включении в порядке, установленном </w:t>
      </w:r>
      <w:hyperlink w:anchor="Par1947" w:history="1">
        <w:r>
          <w:rPr>
            <w:rFonts w:ascii="Arial" w:hAnsi="Arial" w:cs="Arial"/>
            <w:color w:val="0000FF"/>
            <w:sz w:val="20"/>
            <w:szCs w:val="20"/>
          </w:rPr>
          <w:t>пунктом 229</w:t>
        </w:r>
      </w:hyperlink>
      <w:r>
        <w:rPr>
          <w:rFonts w:ascii="Arial" w:hAnsi="Arial" w:cs="Arial"/>
          <w:sz w:val="20"/>
          <w:szCs w:val="20"/>
        </w:rPr>
        <w:t xml:space="preserve"> настоящего документа, территории, соответствующей всей или части зоны деятельности гарантирующего поставщика, из числа указанных в </w:t>
      </w:r>
      <w:hyperlink w:anchor="Par1593" w:history="1">
        <w:r>
          <w:rPr>
            <w:rFonts w:ascii="Arial" w:hAnsi="Arial" w:cs="Arial"/>
            <w:color w:val="0000FF"/>
            <w:sz w:val="20"/>
            <w:szCs w:val="20"/>
          </w:rPr>
          <w:t>абзацах втором</w:t>
        </w:r>
      </w:hyperlink>
      <w:r>
        <w:rPr>
          <w:rFonts w:ascii="Arial" w:hAnsi="Arial" w:cs="Arial"/>
          <w:sz w:val="20"/>
          <w:szCs w:val="20"/>
        </w:rPr>
        <w:t xml:space="preserve"> - </w:t>
      </w:r>
      <w:hyperlink w:anchor="Par1595" w:history="1">
        <w:r>
          <w:rPr>
            <w:rFonts w:ascii="Arial" w:hAnsi="Arial" w:cs="Arial"/>
            <w:color w:val="0000FF"/>
            <w:sz w:val="20"/>
            <w:szCs w:val="20"/>
          </w:rPr>
          <w:t>четвертом</w:t>
        </w:r>
      </w:hyperlink>
      <w:r>
        <w:rPr>
          <w:rFonts w:ascii="Arial" w:hAnsi="Arial" w:cs="Arial"/>
          <w:sz w:val="20"/>
          <w:szCs w:val="20"/>
        </w:rPr>
        <w:t xml:space="preserve">, </w:t>
      </w:r>
      <w:hyperlink w:anchor="Par1597" w:history="1">
        <w:r>
          <w:rPr>
            <w:rFonts w:ascii="Arial" w:hAnsi="Arial" w:cs="Arial"/>
            <w:color w:val="0000FF"/>
            <w:sz w:val="20"/>
            <w:szCs w:val="20"/>
          </w:rPr>
          <w:t>шестом</w:t>
        </w:r>
      </w:hyperlink>
      <w:r>
        <w:rPr>
          <w:rFonts w:ascii="Arial" w:hAnsi="Arial" w:cs="Arial"/>
          <w:sz w:val="20"/>
          <w:szCs w:val="20"/>
        </w:rPr>
        <w:t xml:space="preserve"> и </w:t>
      </w:r>
      <w:hyperlink w:anchor="Par1602" w:history="1">
        <w:r>
          <w:rPr>
            <w:rFonts w:ascii="Arial" w:hAnsi="Arial" w:cs="Arial"/>
            <w:color w:val="0000FF"/>
            <w:sz w:val="20"/>
            <w:szCs w:val="20"/>
          </w:rPr>
          <w:t>десятом пункта 198</w:t>
        </w:r>
      </w:hyperlink>
      <w:r>
        <w:rPr>
          <w:rFonts w:ascii="Arial" w:hAnsi="Arial" w:cs="Arial"/>
          <w:sz w:val="20"/>
          <w:szCs w:val="20"/>
        </w:rPr>
        <w:t xml:space="preserve"> настоящего документа, в расположенную на территории того же субъекта Российской Федерации зону деятельности гарантирующего поставщика, указанного в </w:t>
      </w:r>
      <w:hyperlink w:anchor="Par1947" w:history="1">
        <w:r>
          <w:rPr>
            <w:rFonts w:ascii="Arial" w:hAnsi="Arial" w:cs="Arial"/>
            <w:color w:val="0000FF"/>
            <w:sz w:val="20"/>
            <w:szCs w:val="20"/>
          </w:rPr>
          <w:t>пункте 229</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Постановлений Правительства РФ от 28.05.2015 </w:t>
      </w:r>
      <w:hyperlink r:id="rId710" w:history="1">
        <w:r>
          <w:rPr>
            <w:rFonts w:ascii="Arial" w:hAnsi="Arial" w:cs="Arial"/>
            <w:color w:val="0000FF"/>
            <w:sz w:val="20"/>
            <w:szCs w:val="20"/>
          </w:rPr>
          <w:t>N 508</w:t>
        </w:r>
      </w:hyperlink>
      <w:r>
        <w:rPr>
          <w:rFonts w:ascii="Arial" w:hAnsi="Arial" w:cs="Arial"/>
          <w:sz w:val="20"/>
          <w:szCs w:val="20"/>
        </w:rPr>
        <w:t xml:space="preserve">, от 23.12.2016 </w:t>
      </w:r>
      <w:hyperlink r:id="rId711" w:history="1">
        <w:r>
          <w:rPr>
            <w:rFonts w:ascii="Arial" w:hAnsi="Arial" w:cs="Arial"/>
            <w:color w:val="0000FF"/>
            <w:sz w:val="20"/>
            <w:szCs w:val="20"/>
          </w:rPr>
          <w:t>N 1446</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30" w:name="Par1939"/>
      <w:bookmarkEnd w:id="230"/>
      <w:r>
        <w:rPr>
          <w:rFonts w:ascii="Arial" w:hAnsi="Arial" w:cs="Arial"/>
          <w:sz w:val="20"/>
          <w:szCs w:val="20"/>
        </w:rPr>
        <w:t xml:space="preserve">при изменении (объединении) в порядке, установленном </w:t>
      </w:r>
      <w:hyperlink w:anchor="Par1987" w:history="1">
        <w:r>
          <w:rPr>
            <w:rFonts w:ascii="Arial" w:hAnsi="Arial" w:cs="Arial"/>
            <w:color w:val="0000FF"/>
            <w:sz w:val="20"/>
            <w:szCs w:val="20"/>
          </w:rPr>
          <w:t>пунктом 230</w:t>
        </w:r>
      </w:hyperlink>
      <w:r>
        <w:rPr>
          <w:rFonts w:ascii="Arial" w:hAnsi="Arial" w:cs="Arial"/>
          <w:sz w:val="20"/>
          <w:szCs w:val="20"/>
        </w:rPr>
        <w:t xml:space="preserve"> настоящего документа,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изменении в порядке, установленном </w:t>
      </w:r>
      <w:hyperlink w:anchor="Par2010" w:history="1">
        <w:r>
          <w:rPr>
            <w:rFonts w:ascii="Arial" w:hAnsi="Arial" w:cs="Arial"/>
            <w:color w:val="0000FF"/>
            <w:sz w:val="20"/>
            <w:szCs w:val="20"/>
          </w:rPr>
          <w:t>пунктом 231</w:t>
        </w:r>
      </w:hyperlink>
      <w:r>
        <w:rPr>
          <w:rFonts w:ascii="Arial" w:hAnsi="Arial" w:cs="Arial"/>
          <w:sz w:val="20"/>
          <w:szCs w:val="20"/>
        </w:rPr>
        <w:t xml:space="preserve"> настоящего документа,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определены границы зоны деятельности соответствующего гарантирующего поставщика.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изменении границ зоны деятельности гарантирующего поставщика в соответствии с </w:t>
      </w:r>
      <w:hyperlink w:anchor="Par1937" w:history="1">
        <w:r>
          <w:rPr>
            <w:rFonts w:ascii="Arial" w:hAnsi="Arial" w:cs="Arial"/>
            <w:color w:val="0000FF"/>
            <w:sz w:val="20"/>
            <w:szCs w:val="20"/>
          </w:rPr>
          <w:t>абзацами вторым</w:t>
        </w:r>
      </w:hyperlink>
      <w:r>
        <w:rPr>
          <w:rFonts w:ascii="Arial" w:hAnsi="Arial" w:cs="Arial"/>
          <w:sz w:val="20"/>
          <w:szCs w:val="20"/>
        </w:rPr>
        <w:t xml:space="preserve"> и </w:t>
      </w:r>
      <w:hyperlink w:anchor="Par1939" w:history="1">
        <w:r>
          <w:rPr>
            <w:rFonts w:ascii="Arial" w:hAnsi="Arial" w:cs="Arial"/>
            <w:color w:val="0000FF"/>
            <w:sz w:val="20"/>
            <w:szCs w:val="20"/>
          </w:rPr>
          <w:t>третьим</w:t>
        </w:r>
      </w:hyperlink>
      <w:r>
        <w:rPr>
          <w:rFonts w:ascii="Arial" w:hAnsi="Arial" w:cs="Arial"/>
          <w:sz w:val="20"/>
          <w:szCs w:val="20"/>
        </w:rPr>
        <w:t xml:space="preserve"> настоящего пункта гарантирующий поставщик вправе продолжать осуществлять продажу электрической энергии (мощности) на территории, соответствующей той части зоны его деятельности, которая была исключена из зоны его деятельности в качестве гарантирующего поставщика и включена в зону деятельности другого гарантирующего поставщика, в качестве энергосбытовой (энергоснабжающей) организации. При этом прием на обслуживание потребителей, энергопринимающие устройства которых расположены на территории, соответствующей той части зоны деятельности гарантирующего поставщика, которая была исключена из зоны его деятельности и включена в зону деятельности другого гарантирующего поставщика, осуществляется в порядке, установленном </w:t>
      </w:r>
      <w:hyperlink w:anchor="Par180" w:history="1">
        <w:r>
          <w:rPr>
            <w:rFonts w:ascii="Arial" w:hAnsi="Arial" w:cs="Arial"/>
            <w:color w:val="0000FF"/>
            <w:sz w:val="20"/>
            <w:szCs w:val="20"/>
          </w:rPr>
          <w:t>разделом II</w:t>
        </w:r>
      </w:hyperlink>
      <w:r>
        <w:rPr>
          <w:rFonts w:ascii="Arial" w:hAnsi="Arial" w:cs="Arial"/>
          <w:sz w:val="20"/>
          <w:szCs w:val="20"/>
        </w:rPr>
        <w:t xml:space="preserve"> настоящего документа, гарантирующим поставщиком, в зону деятельности которого включена эта территория.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712"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28.05.2015 N 508)</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Предусмотренные настоящим пунктом и </w:t>
      </w:r>
      <w:hyperlink w:anchor="Par1947" w:history="1">
        <w:r>
          <w:rPr>
            <w:rFonts w:ascii="Arial" w:hAnsi="Arial" w:cs="Arial"/>
            <w:color w:val="0000FF"/>
            <w:sz w:val="20"/>
            <w:szCs w:val="20"/>
          </w:rPr>
          <w:t>пунктом 229</w:t>
        </w:r>
      </w:hyperlink>
      <w:r>
        <w:rPr>
          <w:rFonts w:ascii="Arial" w:hAnsi="Arial" w:cs="Arial"/>
          <w:sz w:val="20"/>
          <w:szCs w:val="20"/>
        </w:rPr>
        <w:t xml:space="preserve"> настоящего документа положения распространяются также на организации, которые в порядке правопреемства или на ином законном основании получили статус гарантирующего поставщика в отношении зон деятельности гарантирующих поставщиков, указанных в </w:t>
      </w:r>
      <w:hyperlink w:anchor="Par1592" w:history="1">
        <w:r>
          <w:rPr>
            <w:rFonts w:ascii="Arial" w:hAnsi="Arial" w:cs="Arial"/>
            <w:color w:val="0000FF"/>
            <w:sz w:val="20"/>
            <w:szCs w:val="20"/>
          </w:rPr>
          <w:t>пункте 198</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713"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28.05.2015 N 508)</w:t>
      </w:r>
    </w:p>
    <w:p w:rsidR="009F5AFE" w:rsidRDefault="009F5AFE" w:rsidP="009F5AFE">
      <w:pPr>
        <w:autoSpaceDE w:val="0"/>
        <w:autoSpaceDN w:val="0"/>
        <w:adjustRightInd w:val="0"/>
        <w:spacing w:after="0" w:line="240" w:lineRule="auto"/>
        <w:rPr>
          <w:rFonts w:ascii="Arial" w:hAnsi="Arial" w:cs="Arial"/>
          <w:sz w:val="24"/>
          <w:szCs w:val="24"/>
        </w:rPr>
      </w:pPr>
    </w:p>
    <w:tbl>
      <w:tblPr>
        <w:tblW w:w="5000" w:type="pct"/>
        <w:jc w:val="center"/>
        <w:tblLayout w:type="fixed"/>
        <w:tblCellMar>
          <w:top w:w="113" w:type="dxa"/>
          <w:left w:w="113" w:type="dxa"/>
          <w:bottom w:w="113" w:type="dxa"/>
          <w:right w:w="113" w:type="dxa"/>
        </w:tblCellMar>
        <w:tblLook w:val="0000" w:firstRow="0" w:lastRow="0" w:firstColumn="0" w:lastColumn="0" w:noHBand="0" w:noVBand="0"/>
      </w:tblPr>
      <w:tblGrid>
        <w:gridCol w:w="10433"/>
      </w:tblGrid>
      <w:tr w:rsidR="009F5AFE">
        <w:trPr>
          <w:jc w:val="center"/>
        </w:trPr>
        <w:tc>
          <w:tcPr>
            <w:tcW w:w="5000" w:type="pct"/>
            <w:tcBorders>
              <w:left w:val="single" w:sz="24" w:space="0" w:color="CED3F1"/>
              <w:right w:val="single" w:sz="24" w:space="0" w:color="F4F3F8"/>
            </w:tcBorders>
            <w:shd w:val="clear" w:color="auto" w:fill="F4F3F8"/>
          </w:tcPr>
          <w:p w:rsidR="009F5AFE" w:rsidRDefault="009F5AFE">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9F5AFE" w:rsidRDefault="009F5AFE">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Абзац первый пункта 229 </w:t>
            </w:r>
            <w:hyperlink r:id="rId714" w:history="1">
              <w:r>
                <w:rPr>
                  <w:rFonts w:ascii="Arial" w:hAnsi="Arial" w:cs="Arial"/>
                  <w:color w:val="0000FF"/>
                  <w:sz w:val="20"/>
                  <w:szCs w:val="20"/>
                </w:rPr>
                <w:t>решением</w:t>
              </w:r>
            </w:hyperlink>
            <w:r>
              <w:rPr>
                <w:rFonts w:ascii="Arial" w:hAnsi="Arial" w:cs="Arial"/>
                <w:color w:val="392C69"/>
                <w:sz w:val="20"/>
                <w:szCs w:val="20"/>
              </w:rPr>
              <w:t xml:space="preserve"> ВАС РФ от 21.05.2013 N ВАС-15415/12 признан несоответствующим Федеральному </w:t>
            </w:r>
            <w:hyperlink r:id="rId715" w:history="1">
              <w:r>
                <w:rPr>
                  <w:rFonts w:ascii="Arial" w:hAnsi="Arial" w:cs="Arial"/>
                  <w:color w:val="0000FF"/>
                  <w:sz w:val="20"/>
                  <w:szCs w:val="20"/>
                </w:rPr>
                <w:t>закону</w:t>
              </w:r>
            </w:hyperlink>
            <w:r>
              <w:rPr>
                <w:rFonts w:ascii="Arial" w:hAnsi="Arial" w:cs="Arial"/>
                <w:color w:val="392C69"/>
                <w:sz w:val="20"/>
                <w:szCs w:val="20"/>
              </w:rPr>
              <w:t xml:space="preserve"> от 26.03.2003 N 35-ФЗ "Об электроэнергетике" в части установления даты 31.12.2011 и недействующим.</w:t>
            </w:r>
          </w:p>
        </w:tc>
      </w:tr>
    </w:tbl>
    <w:p w:rsidR="009F5AFE" w:rsidRDefault="009F5AFE" w:rsidP="009F5AFE">
      <w:pPr>
        <w:autoSpaceDE w:val="0"/>
        <w:autoSpaceDN w:val="0"/>
        <w:adjustRightInd w:val="0"/>
        <w:spacing w:before="260" w:after="0" w:line="240" w:lineRule="auto"/>
        <w:ind w:firstLine="540"/>
        <w:jc w:val="both"/>
        <w:rPr>
          <w:rFonts w:ascii="Arial" w:hAnsi="Arial" w:cs="Arial"/>
          <w:sz w:val="20"/>
          <w:szCs w:val="20"/>
        </w:rPr>
      </w:pPr>
      <w:bookmarkStart w:id="231" w:name="Par1947"/>
      <w:bookmarkEnd w:id="231"/>
      <w:r>
        <w:rPr>
          <w:rFonts w:ascii="Arial" w:hAnsi="Arial" w:cs="Arial"/>
          <w:sz w:val="20"/>
          <w:szCs w:val="20"/>
        </w:rPr>
        <w:t xml:space="preserve">229. В случае если гарантирующим поставщиком, функционирующим на территории субъекта Российской Федерации, входящего в ценовую зону оптового рынка, указанным в </w:t>
      </w:r>
      <w:hyperlink w:anchor="Par1594" w:history="1">
        <w:r>
          <w:rPr>
            <w:rFonts w:ascii="Arial" w:hAnsi="Arial" w:cs="Arial"/>
            <w:color w:val="0000FF"/>
            <w:sz w:val="20"/>
            <w:szCs w:val="20"/>
          </w:rPr>
          <w:t>абзацах третьем</w:t>
        </w:r>
      </w:hyperlink>
      <w:r>
        <w:rPr>
          <w:rFonts w:ascii="Arial" w:hAnsi="Arial" w:cs="Arial"/>
          <w:sz w:val="20"/>
          <w:szCs w:val="20"/>
        </w:rPr>
        <w:t xml:space="preserve"> и </w:t>
      </w:r>
      <w:hyperlink w:anchor="Par1595" w:history="1">
        <w:r>
          <w:rPr>
            <w:rFonts w:ascii="Arial" w:hAnsi="Arial" w:cs="Arial"/>
            <w:color w:val="0000FF"/>
            <w:sz w:val="20"/>
            <w:szCs w:val="20"/>
          </w:rPr>
          <w:t>четвертом пункта 198</w:t>
        </w:r>
      </w:hyperlink>
      <w:r>
        <w:rPr>
          <w:rFonts w:ascii="Arial" w:hAnsi="Arial" w:cs="Arial"/>
          <w:sz w:val="20"/>
          <w:szCs w:val="20"/>
        </w:rPr>
        <w:t xml:space="preserve"> настоящего документа, по состоянию на 31 декабря 2011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октября 2012 г. та часть зоны его деятельности в качестве гарантирующего поставщика, в отношении точек поставки которой им по состоянию на 30 сентября 2012 г. не осуществляется покупка электрической энергии (мощности) на оптовом рынке, включается в расположенную на территории того же субъекта Российской Федерации зону деятельности гарантирующего поставщика, указанного в </w:t>
      </w:r>
      <w:hyperlink w:anchor="Par1593" w:history="1">
        <w:r>
          <w:rPr>
            <w:rFonts w:ascii="Arial" w:hAnsi="Arial" w:cs="Arial"/>
            <w:color w:val="0000FF"/>
            <w:sz w:val="20"/>
            <w:szCs w:val="20"/>
          </w:rPr>
          <w:t>абзаце втором пункта 198</w:t>
        </w:r>
      </w:hyperlink>
      <w:r>
        <w:rPr>
          <w:rFonts w:ascii="Arial" w:hAnsi="Arial" w:cs="Arial"/>
          <w:sz w:val="20"/>
          <w:szCs w:val="20"/>
        </w:rPr>
        <w:t xml:space="preserve"> настоящего документа. При этом если таким гарантирующим поставщиком по состоянию на 31 декабря 2011 г. не обеспечено участие в торговле электрической энергией и мощностью на оптовом рынке в отношении его зоны деятельности в качестве гарантирующего поставщика, то с 1 октября 2012 г. такой гарантирующий поставщик утрачивает статус гарантирующего поставщика, а зона его деятельности в качестве гарантирующего поставщика включается в расположенную на территории того же субъекта Российской Федерации зону деятельности гарантирующего поставщика, указанного в </w:t>
      </w:r>
      <w:hyperlink w:anchor="Par1593" w:history="1">
        <w:r>
          <w:rPr>
            <w:rFonts w:ascii="Arial" w:hAnsi="Arial" w:cs="Arial"/>
            <w:color w:val="0000FF"/>
            <w:sz w:val="20"/>
            <w:szCs w:val="20"/>
          </w:rPr>
          <w:t>абзаце втором пункта 198</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32" w:name="Par1948"/>
      <w:bookmarkEnd w:id="232"/>
      <w:r>
        <w:rPr>
          <w:rFonts w:ascii="Arial" w:hAnsi="Arial" w:cs="Arial"/>
          <w:sz w:val="20"/>
          <w:szCs w:val="20"/>
        </w:rPr>
        <w:t>Организация, утратившая статус гарантирующего поставщика по указанному основанию, приобретает статус гарантирующего поставщика с 1 января 2013 г., если по состоянию на 30 сентября 2012 г. обеспечила участие в торговле электрической энергией и мощностью на оптовом рынке с использованием групп точек поставки, соответствующих всей зоне деятельности этой организации в качестве гарантирующего поставщика. Статус гарантирующего поставщика приобретается указанной организацией в отношении зоны деятельности, закрепленной за ней по состоянию на 30 сентября 2012 г.</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716"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28.12.2012 N 1449)</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Определение (изменение) границ зон деятельности гарантирующих поставщиков осуществляется по решению уполномоченного органа субъекта Российской Федерации, на территории которого расположена зона деятельности соответствующего гарантирующего поставщика.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717"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28.12.2012 N 1449)</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33" w:name="Par1952"/>
      <w:bookmarkEnd w:id="233"/>
      <w:r>
        <w:rPr>
          <w:rFonts w:ascii="Arial" w:hAnsi="Arial" w:cs="Arial"/>
          <w:sz w:val="20"/>
          <w:szCs w:val="20"/>
        </w:rPr>
        <w:t xml:space="preserve">В случае если гарантирующим поставщиком, указанным в </w:t>
      </w:r>
      <w:hyperlink w:anchor="Par1597" w:history="1">
        <w:r>
          <w:rPr>
            <w:rFonts w:ascii="Arial" w:hAnsi="Arial" w:cs="Arial"/>
            <w:color w:val="0000FF"/>
            <w:sz w:val="20"/>
            <w:szCs w:val="20"/>
          </w:rPr>
          <w:t>абзаце шестом пункта 198</w:t>
        </w:r>
      </w:hyperlink>
      <w:r>
        <w:rPr>
          <w:rFonts w:ascii="Arial" w:hAnsi="Arial" w:cs="Arial"/>
          <w:sz w:val="20"/>
          <w:szCs w:val="20"/>
        </w:rPr>
        <w:t xml:space="preserve"> настоящего документа, до 1 января 2015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на территориях, объединенных в ценовые и неценовые зоны оптового рынка, то те части зоны его деятельности в качестве гарантирующего поставщика, в отношении которых им не осуществляется покупка электрической энергии и мощности на оптовом рынке, с 1 января 2015 г. включаются в расположенную на территории того же субъекта Российской Федерации зону деятельности гарантирующего поставщика, указанного в </w:t>
      </w:r>
      <w:hyperlink w:anchor="Par1593" w:history="1">
        <w:r>
          <w:rPr>
            <w:rFonts w:ascii="Arial" w:hAnsi="Arial" w:cs="Arial"/>
            <w:color w:val="0000FF"/>
            <w:sz w:val="20"/>
            <w:szCs w:val="20"/>
          </w:rPr>
          <w:t>абзаце втором пункта 198</w:t>
        </w:r>
      </w:hyperlink>
      <w:r>
        <w:rPr>
          <w:rFonts w:ascii="Arial" w:hAnsi="Arial" w:cs="Arial"/>
          <w:sz w:val="20"/>
          <w:szCs w:val="20"/>
        </w:rPr>
        <w:t xml:space="preserve"> настоящего документа, а с 1 июля 2015 г. исключаются из такой зоны деятельности и включаются в расположенные на территории того же субъекта Российской Федерации зоны деятельности гарантирующих поставщиков, из которых эти части были исключены в связи с присвоением статуса гарантирующего поставщика энергосбытовой организации, указанной в </w:t>
      </w:r>
      <w:hyperlink w:anchor="Par1597" w:history="1">
        <w:r>
          <w:rPr>
            <w:rFonts w:ascii="Arial" w:hAnsi="Arial" w:cs="Arial"/>
            <w:color w:val="0000FF"/>
            <w:sz w:val="20"/>
            <w:szCs w:val="20"/>
          </w:rPr>
          <w:t>абзаце шестом пункта 198</w:t>
        </w:r>
      </w:hyperlink>
      <w:r>
        <w:rPr>
          <w:rFonts w:ascii="Arial" w:hAnsi="Arial" w:cs="Arial"/>
          <w:sz w:val="20"/>
          <w:szCs w:val="20"/>
        </w:rPr>
        <w:t xml:space="preserve"> настоящего документа (в измененные зоны деятельности в случае, если указанные зоны деятельности были изменены в порядке, предусмотренном настоящим документом). В случае если гарантирующим поставщиком, указанным в </w:t>
      </w:r>
      <w:hyperlink w:anchor="Par1597" w:history="1">
        <w:r>
          <w:rPr>
            <w:rFonts w:ascii="Arial" w:hAnsi="Arial" w:cs="Arial"/>
            <w:color w:val="0000FF"/>
            <w:sz w:val="20"/>
            <w:szCs w:val="20"/>
          </w:rPr>
          <w:t>абзаце шестом пункта 198</w:t>
        </w:r>
      </w:hyperlink>
      <w:r>
        <w:rPr>
          <w:rFonts w:ascii="Arial" w:hAnsi="Arial" w:cs="Arial"/>
          <w:sz w:val="20"/>
          <w:szCs w:val="20"/>
        </w:rPr>
        <w:t xml:space="preserve"> настоящего документа, до 1 января 2015 г. не обеспечено участие в торговле электрической энергией и мощностью на оптовом рынке в отношении его зоны деятельности в качестве гарантирующего поставщика на территориях, объединенных в ценовые и неценовые зоны оптового рынка, то такой гарантирующий поставщик с 1 января 2015 г. утрачивает статус гарантирующего поставщика, а зона его деятельности в качестве гарантирующего поставщика включается в расположенную на территории того же субъекта Российской Федерации зону деятельности гарантирующего поставщика, указанного в </w:t>
      </w:r>
      <w:hyperlink w:anchor="Par1593" w:history="1">
        <w:r>
          <w:rPr>
            <w:rFonts w:ascii="Arial" w:hAnsi="Arial" w:cs="Arial"/>
            <w:color w:val="0000FF"/>
            <w:sz w:val="20"/>
            <w:szCs w:val="20"/>
          </w:rPr>
          <w:t>абзаце втором пункта 198</w:t>
        </w:r>
      </w:hyperlink>
      <w:r>
        <w:rPr>
          <w:rFonts w:ascii="Arial" w:hAnsi="Arial" w:cs="Arial"/>
          <w:sz w:val="20"/>
          <w:szCs w:val="20"/>
        </w:rPr>
        <w:t xml:space="preserve"> настоящего документа, а с 1 июля 2015 г. исключается из такой зоны деятельности и включается в расположенные на территории того же субъекта Российской Федерации зоны деятельности гарантирующих поставщиков, из которых эта зона (ее часть) была исключена в связи с </w:t>
      </w:r>
      <w:r>
        <w:rPr>
          <w:rFonts w:ascii="Arial" w:hAnsi="Arial" w:cs="Arial"/>
          <w:sz w:val="20"/>
          <w:szCs w:val="20"/>
        </w:rPr>
        <w:lastRenderedPageBreak/>
        <w:t xml:space="preserve">присвоением статуса гарантирующего поставщика энергосбытовой организации, указанной в </w:t>
      </w:r>
      <w:hyperlink w:anchor="Par1597" w:history="1">
        <w:r>
          <w:rPr>
            <w:rFonts w:ascii="Arial" w:hAnsi="Arial" w:cs="Arial"/>
            <w:color w:val="0000FF"/>
            <w:sz w:val="20"/>
            <w:szCs w:val="20"/>
          </w:rPr>
          <w:t>абзаце шестом пункта 198</w:t>
        </w:r>
      </w:hyperlink>
      <w:r>
        <w:rPr>
          <w:rFonts w:ascii="Arial" w:hAnsi="Arial" w:cs="Arial"/>
          <w:sz w:val="20"/>
          <w:szCs w:val="20"/>
        </w:rPr>
        <w:t xml:space="preserve"> настоящего документа (в измененные зоны деятельности в случае, если указанные зоны деятельности были изменены в порядке, предусмотренном настоящим документом).</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718"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28.05.2015 N 508)</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34" w:name="Par1954"/>
      <w:bookmarkEnd w:id="234"/>
      <w:r>
        <w:rPr>
          <w:rFonts w:ascii="Arial" w:hAnsi="Arial" w:cs="Arial"/>
          <w:sz w:val="20"/>
          <w:szCs w:val="20"/>
        </w:rPr>
        <w:t xml:space="preserve">В случае если гарантирующим поставщиком, в зону деятельности которого в соответствии с </w:t>
      </w:r>
      <w:hyperlink w:anchor="Par1952" w:history="1">
        <w:r>
          <w:rPr>
            <w:rFonts w:ascii="Arial" w:hAnsi="Arial" w:cs="Arial"/>
            <w:color w:val="0000FF"/>
            <w:sz w:val="20"/>
            <w:szCs w:val="20"/>
          </w:rPr>
          <w:t>абзацем четвертым</w:t>
        </w:r>
      </w:hyperlink>
      <w:r>
        <w:rPr>
          <w:rFonts w:ascii="Arial" w:hAnsi="Arial" w:cs="Arial"/>
          <w:sz w:val="20"/>
          <w:szCs w:val="20"/>
        </w:rPr>
        <w:t xml:space="preserve"> настоящего пункта была включена зона деятельности либо часть зоны деятельности гарантирующего поставщика, указанного в </w:t>
      </w:r>
      <w:hyperlink w:anchor="Par1597" w:history="1">
        <w:r>
          <w:rPr>
            <w:rFonts w:ascii="Arial" w:hAnsi="Arial" w:cs="Arial"/>
            <w:color w:val="0000FF"/>
            <w:sz w:val="20"/>
            <w:szCs w:val="20"/>
          </w:rPr>
          <w:t>абзаце шестом пункта 198</w:t>
        </w:r>
      </w:hyperlink>
      <w:r>
        <w:rPr>
          <w:rFonts w:ascii="Arial" w:hAnsi="Arial" w:cs="Arial"/>
          <w:sz w:val="20"/>
          <w:szCs w:val="20"/>
        </w:rPr>
        <w:t xml:space="preserve"> настоящего документа, а также гарантирующим поставщиком, функционирующим на территории субъекта Российской Федерации, входящего в неценовую зону оптового рынка, указанным в </w:t>
      </w:r>
      <w:hyperlink w:anchor="Par1594" w:history="1">
        <w:r>
          <w:rPr>
            <w:rFonts w:ascii="Arial" w:hAnsi="Arial" w:cs="Arial"/>
            <w:color w:val="0000FF"/>
            <w:sz w:val="20"/>
            <w:szCs w:val="20"/>
          </w:rPr>
          <w:t>абзацах третьем</w:t>
        </w:r>
      </w:hyperlink>
      <w:r>
        <w:rPr>
          <w:rFonts w:ascii="Arial" w:hAnsi="Arial" w:cs="Arial"/>
          <w:sz w:val="20"/>
          <w:szCs w:val="20"/>
        </w:rPr>
        <w:t xml:space="preserve"> и </w:t>
      </w:r>
      <w:hyperlink w:anchor="Par1595" w:history="1">
        <w:r>
          <w:rPr>
            <w:rFonts w:ascii="Arial" w:hAnsi="Arial" w:cs="Arial"/>
            <w:color w:val="0000FF"/>
            <w:sz w:val="20"/>
            <w:szCs w:val="20"/>
          </w:rPr>
          <w:t>четвертом пункта 198</w:t>
        </w:r>
      </w:hyperlink>
      <w:r>
        <w:rPr>
          <w:rFonts w:ascii="Arial" w:hAnsi="Arial" w:cs="Arial"/>
          <w:sz w:val="20"/>
          <w:szCs w:val="20"/>
        </w:rPr>
        <w:t xml:space="preserve"> настоящего документа, до 1 октября 2015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та часть зоны его деятельности в качестве гарантирующего поставщика, в отношении точек поставки которой им по состоянию на 1 октября 2015 г. не осуществляется покупка электрической энергии (мощности) на оптовом рынке, с 1 октября 2015 г. включается в расположенную на территории того же субъекта Российской Федерации зону деятельности гарантирующего поставщика, указанного в </w:t>
      </w:r>
      <w:hyperlink w:anchor="Par1593" w:history="1">
        <w:r>
          <w:rPr>
            <w:rFonts w:ascii="Arial" w:hAnsi="Arial" w:cs="Arial"/>
            <w:color w:val="0000FF"/>
            <w:sz w:val="20"/>
            <w:szCs w:val="20"/>
          </w:rPr>
          <w:t>абзаце втором пункта 198</w:t>
        </w:r>
      </w:hyperlink>
      <w:r>
        <w:rPr>
          <w:rFonts w:ascii="Arial" w:hAnsi="Arial" w:cs="Arial"/>
          <w:sz w:val="20"/>
          <w:szCs w:val="20"/>
        </w:rPr>
        <w:t xml:space="preserve"> настоящего документа. При этом если гарантирующим поставщиком, функционирующим на территории субъекта Российской Федерации, входящего в неценовую зону оптового рынка, указанным в </w:t>
      </w:r>
      <w:hyperlink w:anchor="Par1594" w:history="1">
        <w:r>
          <w:rPr>
            <w:rFonts w:ascii="Arial" w:hAnsi="Arial" w:cs="Arial"/>
            <w:color w:val="0000FF"/>
            <w:sz w:val="20"/>
            <w:szCs w:val="20"/>
          </w:rPr>
          <w:t>абзацах третьем</w:t>
        </w:r>
      </w:hyperlink>
      <w:r>
        <w:rPr>
          <w:rFonts w:ascii="Arial" w:hAnsi="Arial" w:cs="Arial"/>
          <w:sz w:val="20"/>
          <w:szCs w:val="20"/>
        </w:rPr>
        <w:t xml:space="preserve"> и </w:t>
      </w:r>
      <w:hyperlink w:anchor="Par1595" w:history="1">
        <w:r>
          <w:rPr>
            <w:rFonts w:ascii="Arial" w:hAnsi="Arial" w:cs="Arial"/>
            <w:color w:val="0000FF"/>
            <w:sz w:val="20"/>
            <w:szCs w:val="20"/>
          </w:rPr>
          <w:t>четвертом пункта 198</w:t>
        </w:r>
      </w:hyperlink>
      <w:r>
        <w:rPr>
          <w:rFonts w:ascii="Arial" w:hAnsi="Arial" w:cs="Arial"/>
          <w:sz w:val="20"/>
          <w:szCs w:val="20"/>
        </w:rPr>
        <w:t xml:space="preserve"> настоящего документа, до 1 октября 2015 г. не обеспечено участие в торговле электрической энергией и мощностью на оптовом рынке в отношении его зоны деятельности в качестве гарантирующего поставщика, то такой гарантирующий поставщик с 1 октября 2015 г. утрачивает статус гарантирующего поставщика, а зона его деятельности в качестве гарантирующего поставщика включается в расположенную на территории того же субъекта Российской Федерации зону деятельности гарантирующего поставщика, указанного в </w:t>
      </w:r>
      <w:hyperlink w:anchor="Par1593" w:history="1">
        <w:r>
          <w:rPr>
            <w:rFonts w:ascii="Arial" w:hAnsi="Arial" w:cs="Arial"/>
            <w:color w:val="0000FF"/>
            <w:sz w:val="20"/>
            <w:szCs w:val="20"/>
          </w:rPr>
          <w:t>абзаце втором пункта 198</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719"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28.05.2015 N 508)</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35" w:name="Par1956"/>
      <w:bookmarkEnd w:id="235"/>
      <w:r>
        <w:rPr>
          <w:rFonts w:ascii="Arial" w:hAnsi="Arial" w:cs="Arial"/>
          <w:sz w:val="20"/>
          <w:szCs w:val="20"/>
        </w:rPr>
        <w:t>В случае если гарантирующим поставщиком, функционирующим на территории Республики Крым, по состоянию на 31 марта 2017 г. не обеспечено участие в торговле электрической энергией и мощностью на оптовом рынке в отношении его зоны деятельности в качестве гарантирующего поставщика, то с 1 апреля 2017 г. такой гарантирующий поставщик утрачивает статус гарантирующего поставщика, а его зона деятельности в качестве гарантирующего поставщика включается в зону деятельности другого гарантирующего поставщика, функционирующего на территории Республики Крым.</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720"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23.12.2016 N 1446)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36" w:name="Par1958"/>
      <w:bookmarkEnd w:id="236"/>
      <w:r>
        <w:rPr>
          <w:rFonts w:ascii="Arial" w:hAnsi="Arial" w:cs="Arial"/>
          <w:sz w:val="20"/>
          <w:szCs w:val="20"/>
        </w:rPr>
        <w:t xml:space="preserve">В случае утраты организацией, указанной в </w:t>
      </w:r>
      <w:hyperlink w:anchor="Par1597" w:history="1">
        <w:r>
          <w:rPr>
            <w:rFonts w:ascii="Arial" w:hAnsi="Arial" w:cs="Arial"/>
            <w:color w:val="0000FF"/>
            <w:sz w:val="20"/>
            <w:szCs w:val="20"/>
          </w:rPr>
          <w:t>абзаце шестом пункта 198</w:t>
        </w:r>
      </w:hyperlink>
      <w:r>
        <w:rPr>
          <w:rFonts w:ascii="Arial" w:hAnsi="Arial" w:cs="Arial"/>
          <w:sz w:val="20"/>
          <w:szCs w:val="20"/>
        </w:rPr>
        <w:t xml:space="preserve"> настоящего документа, статуса гарантирующего поставщика в отношении ее зоны деятельности в качестве гарантирующего поставщика на территориях, объединенных в ценовые и неценовые зоны оптового рынка, такая ее зона деятельности (часть зоны деятельности) в качестве гарантирующего поставщика с даты утраты организацией, указанной в </w:t>
      </w:r>
      <w:hyperlink w:anchor="Par1597" w:history="1">
        <w:r>
          <w:rPr>
            <w:rFonts w:ascii="Arial" w:hAnsi="Arial" w:cs="Arial"/>
            <w:color w:val="0000FF"/>
            <w:sz w:val="20"/>
            <w:szCs w:val="20"/>
          </w:rPr>
          <w:t>абзаце шестом пункта 198</w:t>
        </w:r>
      </w:hyperlink>
      <w:r>
        <w:rPr>
          <w:rFonts w:ascii="Arial" w:hAnsi="Arial" w:cs="Arial"/>
          <w:sz w:val="20"/>
          <w:szCs w:val="20"/>
        </w:rPr>
        <w:t xml:space="preserve"> настоящего документа, статуса гарантирующего поставщика включается в соответствующую расположенную на территории того же субъекта Российской Федерации зону деятельности гарантирующего поставщика, из которой эта зона (часть зоны) была исключена в связи с присвоением статуса гарантирующего поставщика организации, указанной в </w:t>
      </w:r>
      <w:hyperlink w:anchor="Par1597" w:history="1">
        <w:r>
          <w:rPr>
            <w:rFonts w:ascii="Arial" w:hAnsi="Arial" w:cs="Arial"/>
            <w:color w:val="0000FF"/>
            <w:sz w:val="20"/>
            <w:szCs w:val="20"/>
          </w:rPr>
          <w:t>абзаце шестом пункта 198</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721"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23.12.2016 N 1446)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37" w:name="Par1960"/>
      <w:bookmarkEnd w:id="237"/>
      <w:r>
        <w:rPr>
          <w:rFonts w:ascii="Arial" w:hAnsi="Arial" w:cs="Arial"/>
          <w:sz w:val="20"/>
          <w:szCs w:val="20"/>
        </w:rPr>
        <w:t xml:space="preserve">В случае отсутствия на территории субъекта Российской Федерации гарантирующего поставщика, из зоны деятельности которого была исключена зона деятельности (часть зоны деятельности) в связи с присвоением статуса гарантирующего поставщика организации, указанной в </w:t>
      </w:r>
      <w:hyperlink w:anchor="Par1597" w:history="1">
        <w:r>
          <w:rPr>
            <w:rFonts w:ascii="Arial" w:hAnsi="Arial" w:cs="Arial"/>
            <w:color w:val="0000FF"/>
            <w:sz w:val="20"/>
            <w:szCs w:val="20"/>
          </w:rPr>
          <w:t>абзаце шестом пункта 198</w:t>
        </w:r>
      </w:hyperlink>
      <w:r>
        <w:rPr>
          <w:rFonts w:ascii="Arial" w:hAnsi="Arial" w:cs="Arial"/>
          <w:sz w:val="20"/>
          <w:szCs w:val="20"/>
        </w:rPr>
        <w:t xml:space="preserve"> настоящего документа, зона деятельности (часть зоны деятельности) указанной организации с даты утраты организацией, указанной в </w:t>
      </w:r>
      <w:hyperlink w:anchor="Par1597" w:history="1">
        <w:r>
          <w:rPr>
            <w:rFonts w:ascii="Arial" w:hAnsi="Arial" w:cs="Arial"/>
            <w:color w:val="0000FF"/>
            <w:sz w:val="20"/>
            <w:szCs w:val="20"/>
          </w:rPr>
          <w:t>абзаце шестом пункта 198</w:t>
        </w:r>
      </w:hyperlink>
      <w:r>
        <w:rPr>
          <w:rFonts w:ascii="Arial" w:hAnsi="Arial" w:cs="Arial"/>
          <w:sz w:val="20"/>
          <w:szCs w:val="20"/>
        </w:rPr>
        <w:t xml:space="preserve"> настоящего документа, статуса гарантирующего поставщика включается в расположенную на территории того же субъекта Российской Федерации зону деятельности гарантирующего поставщика, указанного в </w:t>
      </w:r>
      <w:hyperlink w:anchor="Par1593" w:history="1">
        <w:r>
          <w:rPr>
            <w:rFonts w:ascii="Arial" w:hAnsi="Arial" w:cs="Arial"/>
            <w:color w:val="0000FF"/>
            <w:sz w:val="20"/>
            <w:szCs w:val="20"/>
          </w:rPr>
          <w:t>абзаце втором пункта 198</w:t>
        </w:r>
      </w:hyperlink>
      <w:r>
        <w:rPr>
          <w:rFonts w:ascii="Arial" w:hAnsi="Arial" w:cs="Arial"/>
          <w:sz w:val="20"/>
          <w:szCs w:val="20"/>
        </w:rPr>
        <w:t xml:space="preserve"> настоящего документа, либо зону деятельности организации, которая в порядке правопреемства или на ином законном основании получила статус гарантирующего поставщика в отношении зоны деятельности гарантирующего поставщика, указанного в </w:t>
      </w:r>
      <w:hyperlink w:anchor="Par1593" w:history="1">
        <w:r>
          <w:rPr>
            <w:rFonts w:ascii="Arial" w:hAnsi="Arial" w:cs="Arial"/>
            <w:color w:val="0000FF"/>
            <w:sz w:val="20"/>
            <w:szCs w:val="20"/>
          </w:rPr>
          <w:t>абзаце втором пункта 198</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722"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23.12.2016 N 1446)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целях оформления установленного </w:t>
      </w:r>
      <w:hyperlink w:anchor="Par1947" w:history="1">
        <w:r>
          <w:rPr>
            <w:rFonts w:ascii="Arial" w:hAnsi="Arial" w:cs="Arial"/>
            <w:color w:val="0000FF"/>
            <w:sz w:val="20"/>
            <w:szCs w:val="20"/>
          </w:rPr>
          <w:t>абзацами первым</w:t>
        </w:r>
      </w:hyperlink>
      <w:r>
        <w:rPr>
          <w:rFonts w:ascii="Arial" w:hAnsi="Arial" w:cs="Arial"/>
          <w:sz w:val="20"/>
          <w:szCs w:val="20"/>
        </w:rPr>
        <w:t xml:space="preserve">, </w:t>
      </w:r>
      <w:hyperlink w:anchor="Par1952" w:history="1">
        <w:r>
          <w:rPr>
            <w:rFonts w:ascii="Arial" w:hAnsi="Arial" w:cs="Arial"/>
            <w:color w:val="0000FF"/>
            <w:sz w:val="20"/>
            <w:szCs w:val="20"/>
          </w:rPr>
          <w:t>четвертым</w:t>
        </w:r>
      </w:hyperlink>
      <w:r>
        <w:rPr>
          <w:rFonts w:ascii="Arial" w:hAnsi="Arial" w:cs="Arial"/>
          <w:sz w:val="20"/>
          <w:szCs w:val="20"/>
        </w:rPr>
        <w:t xml:space="preserve">, </w:t>
      </w:r>
      <w:hyperlink w:anchor="Par1954" w:history="1">
        <w:r>
          <w:rPr>
            <w:rFonts w:ascii="Arial" w:hAnsi="Arial" w:cs="Arial"/>
            <w:color w:val="0000FF"/>
            <w:sz w:val="20"/>
            <w:szCs w:val="20"/>
          </w:rPr>
          <w:t>пятым</w:t>
        </w:r>
      </w:hyperlink>
      <w:r>
        <w:rPr>
          <w:rFonts w:ascii="Arial" w:hAnsi="Arial" w:cs="Arial"/>
          <w:sz w:val="20"/>
          <w:szCs w:val="20"/>
        </w:rPr>
        <w:t xml:space="preserve">, </w:t>
      </w:r>
      <w:hyperlink w:anchor="Par1956" w:history="1">
        <w:r>
          <w:rPr>
            <w:rFonts w:ascii="Arial" w:hAnsi="Arial" w:cs="Arial"/>
            <w:color w:val="0000FF"/>
            <w:sz w:val="20"/>
            <w:szCs w:val="20"/>
          </w:rPr>
          <w:t>шестым</w:t>
        </w:r>
      </w:hyperlink>
      <w:r>
        <w:rPr>
          <w:rFonts w:ascii="Arial" w:hAnsi="Arial" w:cs="Arial"/>
          <w:sz w:val="20"/>
          <w:szCs w:val="20"/>
        </w:rPr>
        <w:t xml:space="preserve">, </w:t>
      </w:r>
      <w:hyperlink w:anchor="Par1958" w:history="1">
        <w:r>
          <w:rPr>
            <w:rFonts w:ascii="Arial" w:hAnsi="Arial" w:cs="Arial"/>
            <w:color w:val="0000FF"/>
            <w:sz w:val="20"/>
            <w:szCs w:val="20"/>
          </w:rPr>
          <w:t>седьмым</w:t>
        </w:r>
      </w:hyperlink>
      <w:r>
        <w:rPr>
          <w:rFonts w:ascii="Arial" w:hAnsi="Arial" w:cs="Arial"/>
          <w:sz w:val="20"/>
          <w:szCs w:val="20"/>
        </w:rPr>
        <w:t xml:space="preserve"> или </w:t>
      </w:r>
      <w:hyperlink w:anchor="Par1960" w:history="1">
        <w:r>
          <w:rPr>
            <w:rFonts w:ascii="Arial" w:hAnsi="Arial" w:cs="Arial"/>
            <w:color w:val="0000FF"/>
            <w:sz w:val="20"/>
            <w:szCs w:val="20"/>
          </w:rPr>
          <w:t>восьмым</w:t>
        </w:r>
      </w:hyperlink>
      <w:r>
        <w:rPr>
          <w:rFonts w:ascii="Arial" w:hAnsi="Arial" w:cs="Arial"/>
          <w:sz w:val="20"/>
          <w:szCs w:val="20"/>
        </w:rPr>
        <w:t xml:space="preserve"> настоящего пункта изменения границ зон деятельности гарантирующих поставщиков уполномоченный орган субъекта Российской Федерации, на территории которого расположена зона </w:t>
      </w:r>
      <w:r>
        <w:rPr>
          <w:rFonts w:ascii="Arial" w:hAnsi="Arial" w:cs="Arial"/>
          <w:sz w:val="20"/>
          <w:szCs w:val="20"/>
        </w:rPr>
        <w:lastRenderedPageBreak/>
        <w:t xml:space="preserve">деятельности соответствующего гарантирующего поставщика, не позднее одного месяца после даты изменения границ зон деятельности гарантирующих поставщиков, указанной в </w:t>
      </w:r>
      <w:hyperlink w:anchor="Par1947" w:history="1">
        <w:r>
          <w:rPr>
            <w:rFonts w:ascii="Arial" w:hAnsi="Arial" w:cs="Arial"/>
            <w:color w:val="0000FF"/>
            <w:sz w:val="20"/>
            <w:szCs w:val="20"/>
          </w:rPr>
          <w:t>абзацах первом</w:t>
        </w:r>
      </w:hyperlink>
      <w:r>
        <w:rPr>
          <w:rFonts w:ascii="Arial" w:hAnsi="Arial" w:cs="Arial"/>
          <w:sz w:val="20"/>
          <w:szCs w:val="20"/>
        </w:rPr>
        <w:t xml:space="preserve">, </w:t>
      </w:r>
      <w:hyperlink w:anchor="Par1952" w:history="1">
        <w:r>
          <w:rPr>
            <w:rFonts w:ascii="Arial" w:hAnsi="Arial" w:cs="Arial"/>
            <w:color w:val="0000FF"/>
            <w:sz w:val="20"/>
            <w:szCs w:val="20"/>
          </w:rPr>
          <w:t>четвертом</w:t>
        </w:r>
      </w:hyperlink>
      <w:r>
        <w:rPr>
          <w:rFonts w:ascii="Arial" w:hAnsi="Arial" w:cs="Arial"/>
          <w:sz w:val="20"/>
          <w:szCs w:val="20"/>
        </w:rPr>
        <w:t xml:space="preserve">, </w:t>
      </w:r>
      <w:hyperlink w:anchor="Par1954" w:history="1">
        <w:r>
          <w:rPr>
            <w:rFonts w:ascii="Arial" w:hAnsi="Arial" w:cs="Arial"/>
            <w:color w:val="0000FF"/>
            <w:sz w:val="20"/>
            <w:szCs w:val="20"/>
          </w:rPr>
          <w:t>пятом</w:t>
        </w:r>
      </w:hyperlink>
      <w:r>
        <w:rPr>
          <w:rFonts w:ascii="Arial" w:hAnsi="Arial" w:cs="Arial"/>
          <w:sz w:val="20"/>
          <w:szCs w:val="20"/>
        </w:rPr>
        <w:t xml:space="preserve">, </w:t>
      </w:r>
      <w:hyperlink w:anchor="Par1956" w:history="1">
        <w:r>
          <w:rPr>
            <w:rFonts w:ascii="Arial" w:hAnsi="Arial" w:cs="Arial"/>
            <w:color w:val="0000FF"/>
            <w:sz w:val="20"/>
            <w:szCs w:val="20"/>
          </w:rPr>
          <w:t>шестом</w:t>
        </w:r>
      </w:hyperlink>
      <w:r>
        <w:rPr>
          <w:rFonts w:ascii="Arial" w:hAnsi="Arial" w:cs="Arial"/>
          <w:sz w:val="20"/>
          <w:szCs w:val="20"/>
        </w:rPr>
        <w:t xml:space="preserve">, </w:t>
      </w:r>
      <w:hyperlink w:anchor="Par1958" w:history="1">
        <w:r>
          <w:rPr>
            <w:rFonts w:ascii="Arial" w:hAnsi="Arial" w:cs="Arial"/>
            <w:color w:val="0000FF"/>
            <w:sz w:val="20"/>
            <w:szCs w:val="20"/>
          </w:rPr>
          <w:t>седьмом</w:t>
        </w:r>
      </w:hyperlink>
      <w:r>
        <w:rPr>
          <w:rFonts w:ascii="Arial" w:hAnsi="Arial" w:cs="Arial"/>
          <w:sz w:val="20"/>
          <w:szCs w:val="20"/>
        </w:rPr>
        <w:t xml:space="preserve"> или </w:t>
      </w:r>
      <w:hyperlink w:anchor="Par1960" w:history="1">
        <w:r>
          <w:rPr>
            <w:rFonts w:ascii="Arial" w:hAnsi="Arial" w:cs="Arial"/>
            <w:color w:val="0000FF"/>
            <w:sz w:val="20"/>
            <w:szCs w:val="20"/>
          </w:rPr>
          <w:t>восьмом</w:t>
        </w:r>
      </w:hyperlink>
      <w:r>
        <w:rPr>
          <w:rFonts w:ascii="Arial" w:hAnsi="Arial" w:cs="Arial"/>
          <w:sz w:val="20"/>
          <w:szCs w:val="20"/>
        </w:rPr>
        <w:t xml:space="preserve"> настоящего пункта, обязан принять решение об измененных границах зон деятельности того гарантирующего поставщика, часть зоны деятельности которого была включена в зону деятельности другого гарантирующего поставщика, а также в случае наличия соответствующих изменений в описании границ зоны деятельности и того гарантирующего поставщика, в зону деятельности которого была включена вся или часть зоны деятельности другого гарантирующего поставщика. До принятия такого решения уполномоченный орган субъекта Российской Федерации направляет:</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Постановлений Правительства РФ от 28.05.2015 </w:t>
      </w:r>
      <w:hyperlink r:id="rId723" w:history="1">
        <w:r>
          <w:rPr>
            <w:rFonts w:ascii="Arial" w:hAnsi="Arial" w:cs="Arial"/>
            <w:color w:val="0000FF"/>
            <w:sz w:val="20"/>
            <w:szCs w:val="20"/>
          </w:rPr>
          <w:t>N 508</w:t>
        </w:r>
      </w:hyperlink>
      <w:r>
        <w:rPr>
          <w:rFonts w:ascii="Arial" w:hAnsi="Arial" w:cs="Arial"/>
          <w:sz w:val="20"/>
          <w:szCs w:val="20"/>
        </w:rPr>
        <w:t xml:space="preserve">, от 23.12.2016 </w:t>
      </w:r>
      <w:hyperlink r:id="rId724" w:history="1">
        <w:r>
          <w:rPr>
            <w:rFonts w:ascii="Arial" w:hAnsi="Arial" w:cs="Arial"/>
            <w:color w:val="0000FF"/>
            <w:sz w:val="20"/>
            <w:szCs w:val="20"/>
          </w:rPr>
          <w:t>N 1446</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совет рынка письменный запрос о группах точек поставки, с использованием которых гарантирующий поставщик, обеспечивший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участвует в торговле электрической энергией и мощностью на оптовом рынке на 30 сентября 2012 г., 31 декабря 2014 г., 1 октября 2015 г. или на 31 марта 2017 г. соответственно;</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Постановлений Правительства РФ от 28.05.2015 </w:t>
      </w:r>
      <w:hyperlink r:id="rId725" w:history="1">
        <w:r>
          <w:rPr>
            <w:rFonts w:ascii="Arial" w:hAnsi="Arial" w:cs="Arial"/>
            <w:color w:val="0000FF"/>
            <w:sz w:val="20"/>
            <w:szCs w:val="20"/>
          </w:rPr>
          <w:t>N 508</w:t>
        </w:r>
      </w:hyperlink>
      <w:r>
        <w:rPr>
          <w:rFonts w:ascii="Arial" w:hAnsi="Arial" w:cs="Arial"/>
          <w:sz w:val="20"/>
          <w:szCs w:val="20"/>
        </w:rPr>
        <w:t xml:space="preserve">, от 23.12.2016 </w:t>
      </w:r>
      <w:hyperlink r:id="rId726" w:history="1">
        <w:r>
          <w:rPr>
            <w:rFonts w:ascii="Arial" w:hAnsi="Arial" w:cs="Arial"/>
            <w:color w:val="0000FF"/>
            <w:sz w:val="20"/>
            <w:szCs w:val="20"/>
          </w:rPr>
          <w:t>N 1446</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гарантирующему поставщику, обеспечившему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и сетевой организации (энергоснабжающей организации, хозяйствующему субъекту), по границам балансовой принадлежности объектов электросетевого хозяйства которой ранее была установлена зона деятельности такого гарантирующего поставщика, письменный запрос о том, какие адреса (наименование субъекта Российской Федерации, района, города, иного поселения, улицы, номер дома) на территории поселений соотносятся с группами точек поставки, с использованием которых по данным совета рынка такой гарантирующий поставщик участвует в торговле электрической энергией и мощностью на оптовом рынке, и какие адреса соотносятся с точками поставки на границах балансовой принадлежности сетевой организации (энергоснабжающей организации, хозяйствующего субъекта), по которым ранее была установлена зона деятельности такого гарантирующего поставщика, не включенными в состав группы точек поставки такого гарантирующего поставщика на оптовом рынке.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Гарантирующий поставщик, обеспечивший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по согласованию (при его наличии) с сетевой организацией (энергоснабжающей организацией, хозяйствующим субъектом), по границам балансовой принадлежности объектов электросетевого хозяйства которой ранее была установлена зона деятельности соответствующего гарантирующего поставщика, а также совет рынка в течение 10 рабочих дней обязаны предоставить запрошенную информацию уполномоченному органу субъекта Российской Федерации.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727"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28.05.2015 N 508)</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Решение уполномоченного органа субъекта Российской Федерации об измененных в соответствии с </w:t>
      </w:r>
      <w:hyperlink w:anchor="Par1947" w:history="1">
        <w:r>
          <w:rPr>
            <w:rFonts w:ascii="Arial" w:hAnsi="Arial" w:cs="Arial"/>
            <w:color w:val="0000FF"/>
            <w:sz w:val="20"/>
            <w:szCs w:val="20"/>
          </w:rPr>
          <w:t>абзацами первым</w:t>
        </w:r>
      </w:hyperlink>
      <w:r>
        <w:rPr>
          <w:rFonts w:ascii="Arial" w:hAnsi="Arial" w:cs="Arial"/>
          <w:sz w:val="20"/>
          <w:szCs w:val="20"/>
        </w:rPr>
        <w:t xml:space="preserve">, </w:t>
      </w:r>
      <w:hyperlink w:anchor="Par1952" w:history="1">
        <w:r>
          <w:rPr>
            <w:rFonts w:ascii="Arial" w:hAnsi="Arial" w:cs="Arial"/>
            <w:color w:val="0000FF"/>
            <w:sz w:val="20"/>
            <w:szCs w:val="20"/>
          </w:rPr>
          <w:t>четвертым</w:t>
        </w:r>
      </w:hyperlink>
      <w:r>
        <w:rPr>
          <w:rFonts w:ascii="Arial" w:hAnsi="Arial" w:cs="Arial"/>
          <w:sz w:val="20"/>
          <w:szCs w:val="20"/>
        </w:rPr>
        <w:t xml:space="preserve">, </w:t>
      </w:r>
      <w:hyperlink w:anchor="Par1954" w:history="1">
        <w:r>
          <w:rPr>
            <w:rFonts w:ascii="Arial" w:hAnsi="Arial" w:cs="Arial"/>
            <w:color w:val="0000FF"/>
            <w:sz w:val="20"/>
            <w:szCs w:val="20"/>
          </w:rPr>
          <w:t>пятым</w:t>
        </w:r>
      </w:hyperlink>
      <w:r>
        <w:rPr>
          <w:rFonts w:ascii="Arial" w:hAnsi="Arial" w:cs="Arial"/>
          <w:sz w:val="20"/>
          <w:szCs w:val="20"/>
        </w:rPr>
        <w:t xml:space="preserve">, </w:t>
      </w:r>
      <w:hyperlink w:anchor="Par1956" w:history="1">
        <w:r>
          <w:rPr>
            <w:rFonts w:ascii="Arial" w:hAnsi="Arial" w:cs="Arial"/>
            <w:color w:val="0000FF"/>
            <w:sz w:val="20"/>
            <w:szCs w:val="20"/>
          </w:rPr>
          <w:t>шестым</w:t>
        </w:r>
      </w:hyperlink>
      <w:r>
        <w:rPr>
          <w:rFonts w:ascii="Arial" w:hAnsi="Arial" w:cs="Arial"/>
          <w:sz w:val="20"/>
          <w:szCs w:val="20"/>
        </w:rPr>
        <w:t xml:space="preserve">, </w:t>
      </w:r>
      <w:hyperlink w:anchor="Par1958" w:history="1">
        <w:r>
          <w:rPr>
            <w:rFonts w:ascii="Arial" w:hAnsi="Arial" w:cs="Arial"/>
            <w:color w:val="0000FF"/>
            <w:sz w:val="20"/>
            <w:szCs w:val="20"/>
          </w:rPr>
          <w:t>седьмым</w:t>
        </w:r>
      </w:hyperlink>
      <w:r>
        <w:rPr>
          <w:rFonts w:ascii="Arial" w:hAnsi="Arial" w:cs="Arial"/>
          <w:sz w:val="20"/>
          <w:szCs w:val="20"/>
        </w:rPr>
        <w:t xml:space="preserve"> или </w:t>
      </w:r>
      <w:hyperlink w:anchor="Par1960" w:history="1">
        <w:r>
          <w:rPr>
            <w:rFonts w:ascii="Arial" w:hAnsi="Arial" w:cs="Arial"/>
            <w:color w:val="0000FF"/>
            <w:sz w:val="20"/>
            <w:szCs w:val="20"/>
          </w:rPr>
          <w:t>восьмым</w:t>
        </w:r>
      </w:hyperlink>
      <w:r>
        <w:rPr>
          <w:rFonts w:ascii="Arial" w:hAnsi="Arial" w:cs="Arial"/>
          <w:sz w:val="20"/>
          <w:szCs w:val="20"/>
        </w:rPr>
        <w:t xml:space="preserve"> настоящего пункта границах зон деятельности гарантирующих поставщиков должно содержать:</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Постановлений Правительства РФ от 28.12.2012 </w:t>
      </w:r>
      <w:hyperlink r:id="rId728" w:history="1">
        <w:r>
          <w:rPr>
            <w:rFonts w:ascii="Arial" w:hAnsi="Arial" w:cs="Arial"/>
            <w:color w:val="0000FF"/>
            <w:sz w:val="20"/>
            <w:szCs w:val="20"/>
          </w:rPr>
          <w:t>N 1449</w:t>
        </w:r>
      </w:hyperlink>
      <w:r>
        <w:rPr>
          <w:rFonts w:ascii="Arial" w:hAnsi="Arial" w:cs="Arial"/>
          <w:sz w:val="20"/>
          <w:szCs w:val="20"/>
        </w:rPr>
        <w:t xml:space="preserve">, от 28.05.2015 </w:t>
      </w:r>
      <w:hyperlink r:id="rId729" w:history="1">
        <w:r>
          <w:rPr>
            <w:rFonts w:ascii="Arial" w:hAnsi="Arial" w:cs="Arial"/>
            <w:color w:val="0000FF"/>
            <w:sz w:val="20"/>
            <w:szCs w:val="20"/>
          </w:rPr>
          <w:t>N 508</w:t>
        </w:r>
      </w:hyperlink>
      <w:r>
        <w:rPr>
          <w:rFonts w:ascii="Arial" w:hAnsi="Arial" w:cs="Arial"/>
          <w:sz w:val="20"/>
          <w:szCs w:val="20"/>
        </w:rPr>
        <w:t xml:space="preserve">, от 23.12.2016 </w:t>
      </w:r>
      <w:hyperlink r:id="rId730" w:history="1">
        <w:r>
          <w:rPr>
            <w:rFonts w:ascii="Arial" w:hAnsi="Arial" w:cs="Arial"/>
            <w:color w:val="0000FF"/>
            <w:sz w:val="20"/>
            <w:szCs w:val="20"/>
          </w:rPr>
          <w:t>N 1446</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информацию об основаниях изменения границ зон деятельности гарантирующих поставщиков;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описание с привязкой к адресам на территории поселений новых границ зон деятельности того гарантирующего поставщика, часть зоны деятельности которого была включена в зону деятельности другого гарантирующего поставщика, а также гарантирующего поставщика, в зону деятельности которого была включена вся или часть зоны деятельности другого гарантирующего поставщика, в случае наличия соответствующих изменений в описании границ зоны деятельности;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731"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28.05.2015 N 508)</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дату, с которой границы зон деятельности гарантирующих поставщиков являются измененными, определяемую в соответствии с </w:t>
      </w:r>
      <w:hyperlink w:anchor="Par1947" w:history="1">
        <w:r>
          <w:rPr>
            <w:rFonts w:ascii="Arial" w:hAnsi="Arial" w:cs="Arial"/>
            <w:color w:val="0000FF"/>
            <w:sz w:val="20"/>
            <w:szCs w:val="20"/>
          </w:rPr>
          <w:t>абзацами первым</w:t>
        </w:r>
      </w:hyperlink>
      <w:r>
        <w:rPr>
          <w:rFonts w:ascii="Arial" w:hAnsi="Arial" w:cs="Arial"/>
          <w:sz w:val="20"/>
          <w:szCs w:val="20"/>
        </w:rPr>
        <w:t xml:space="preserve">, </w:t>
      </w:r>
      <w:hyperlink w:anchor="Par1952" w:history="1">
        <w:r>
          <w:rPr>
            <w:rFonts w:ascii="Arial" w:hAnsi="Arial" w:cs="Arial"/>
            <w:color w:val="0000FF"/>
            <w:sz w:val="20"/>
            <w:szCs w:val="20"/>
          </w:rPr>
          <w:t>четвертым</w:t>
        </w:r>
      </w:hyperlink>
      <w:r>
        <w:rPr>
          <w:rFonts w:ascii="Arial" w:hAnsi="Arial" w:cs="Arial"/>
          <w:sz w:val="20"/>
          <w:szCs w:val="20"/>
        </w:rPr>
        <w:t xml:space="preserve">, </w:t>
      </w:r>
      <w:hyperlink w:anchor="Par1954" w:history="1">
        <w:r>
          <w:rPr>
            <w:rFonts w:ascii="Arial" w:hAnsi="Arial" w:cs="Arial"/>
            <w:color w:val="0000FF"/>
            <w:sz w:val="20"/>
            <w:szCs w:val="20"/>
          </w:rPr>
          <w:t>пятым</w:t>
        </w:r>
      </w:hyperlink>
      <w:r>
        <w:rPr>
          <w:rFonts w:ascii="Arial" w:hAnsi="Arial" w:cs="Arial"/>
          <w:sz w:val="20"/>
          <w:szCs w:val="20"/>
        </w:rPr>
        <w:t xml:space="preserve">, </w:t>
      </w:r>
      <w:hyperlink w:anchor="Par1956" w:history="1">
        <w:r>
          <w:rPr>
            <w:rFonts w:ascii="Arial" w:hAnsi="Arial" w:cs="Arial"/>
            <w:color w:val="0000FF"/>
            <w:sz w:val="20"/>
            <w:szCs w:val="20"/>
          </w:rPr>
          <w:t>шестым</w:t>
        </w:r>
      </w:hyperlink>
      <w:r>
        <w:rPr>
          <w:rFonts w:ascii="Arial" w:hAnsi="Arial" w:cs="Arial"/>
          <w:sz w:val="20"/>
          <w:szCs w:val="20"/>
        </w:rPr>
        <w:t xml:space="preserve">, </w:t>
      </w:r>
      <w:hyperlink w:anchor="Par1958" w:history="1">
        <w:r>
          <w:rPr>
            <w:rFonts w:ascii="Arial" w:hAnsi="Arial" w:cs="Arial"/>
            <w:color w:val="0000FF"/>
            <w:sz w:val="20"/>
            <w:szCs w:val="20"/>
          </w:rPr>
          <w:t>седьмым</w:t>
        </w:r>
      </w:hyperlink>
      <w:r>
        <w:rPr>
          <w:rFonts w:ascii="Arial" w:hAnsi="Arial" w:cs="Arial"/>
          <w:sz w:val="20"/>
          <w:szCs w:val="20"/>
        </w:rPr>
        <w:t xml:space="preserve"> или </w:t>
      </w:r>
      <w:hyperlink w:anchor="Par1960" w:history="1">
        <w:r>
          <w:rPr>
            <w:rFonts w:ascii="Arial" w:hAnsi="Arial" w:cs="Arial"/>
            <w:color w:val="0000FF"/>
            <w:sz w:val="20"/>
            <w:szCs w:val="20"/>
          </w:rPr>
          <w:t>восьмым</w:t>
        </w:r>
      </w:hyperlink>
      <w:r>
        <w:rPr>
          <w:rFonts w:ascii="Arial" w:hAnsi="Arial" w:cs="Arial"/>
          <w:sz w:val="20"/>
          <w:szCs w:val="20"/>
        </w:rPr>
        <w:t xml:space="preserve"> настоящего пункта, и с которой в порядке, установленном </w:t>
      </w:r>
      <w:hyperlink w:anchor="Par180" w:history="1">
        <w:r>
          <w:rPr>
            <w:rFonts w:ascii="Arial" w:hAnsi="Arial" w:cs="Arial"/>
            <w:color w:val="0000FF"/>
            <w:sz w:val="20"/>
            <w:szCs w:val="20"/>
          </w:rPr>
          <w:t>разделом II</w:t>
        </w:r>
      </w:hyperlink>
      <w:r>
        <w:rPr>
          <w:rFonts w:ascii="Arial" w:hAnsi="Arial" w:cs="Arial"/>
          <w:sz w:val="20"/>
          <w:szCs w:val="20"/>
        </w:rPr>
        <w:t xml:space="preserve"> настоящего документа, начинается прием на обслуживание потребителей.</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Постановлений Правительства РФ от 28.12.2012 </w:t>
      </w:r>
      <w:hyperlink r:id="rId732" w:history="1">
        <w:r>
          <w:rPr>
            <w:rFonts w:ascii="Arial" w:hAnsi="Arial" w:cs="Arial"/>
            <w:color w:val="0000FF"/>
            <w:sz w:val="20"/>
            <w:szCs w:val="20"/>
          </w:rPr>
          <w:t>N 1449</w:t>
        </w:r>
      </w:hyperlink>
      <w:r>
        <w:rPr>
          <w:rFonts w:ascii="Arial" w:hAnsi="Arial" w:cs="Arial"/>
          <w:sz w:val="20"/>
          <w:szCs w:val="20"/>
        </w:rPr>
        <w:t xml:space="preserve">, от 28.05.2015 </w:t>
      </w:r>
      <w:hyperlink r:id="rId733" w:history="1">
        <w:r>
          <w:rPr>
            <w:rFonts w:ascii="Arial" w:hAnsi="Arial" w:cs="Arial"/>
            <w:color w:val="0000FF"/>
            <w:sz w:val="20"/>
            <w:szCs w:val="20"/>
          </w:rPr>
          <w:t>N 508</w:t>
        </w:r>
      </w:hyperlink>
      <w:r>
        <w:rPr>
          <w:rFonts w:ascii="Arial" w:hAnsi="Arial" w:cs="Arial"/>
          <w:sz w:val="20"/>
          <w:szCs w:val="20"/>
        </w:rPr>
        <w:t xml:space="preserve">, от 23.12.2016 </w:t>
      </w:r>
      <w:hyperlink r:id="rId734" w:history="1">
        <w:r>
          <w:rPr>
            <w:rFonts w:ascii="Arial" w:hAnsi="Arial" w:cs="Arial"/>
            <w:color w:val="0000FF"/>
            <w:sz w:val="20"/>
            <w:szCs w:val="20"/>
          </w:rPr>
          <w:t>N 1446</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Решение уполномоченного органа субъекта Российской Федерации об определении (изменении) в соответствии с </w:t>
      </w:r>
      <w:hyperlink w:anchor="Par1948" w:history="1">
        <w:r>
          <w:rPr>
            <w:rFonts w:ascii="Arial" w:hAnsi="Arial" w:cs="Arial"/>
            <w:color w:val="0000FF"/>
            <w:sz w:val="20"/>
            <w:szCs w:val="20"/>
          </w:rPr>
          <w:t>абзацем вторым</w:t>
        </w:r>
      </w:hyperlink>
      <w:r>
        <w:rPr>
          <w:rFonts w:ascii="Arial" w:hAnsi="Arial" w:cs="Arial"/>
          <w:sz w:val="20"/>
          <w:szCs w:val="20"/>
        </w:rPr>
        <w:t xml:space="preserve"> настоящего пункта границ зон деятельности гарантирующих поставщиков должно содержать:</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735"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28.12.2012 N 1449)</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информацию об основаниях определения (изменения) границ зон деятельности гарантирующих поставщиков;</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736"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28.12.2012 N 1449)</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дату, с которой границы зон деятельности гарантирующих поставщиков являются определенными (измененными), определяемую в соответствии с </w:t>
      </w:r>
      <w:hyperlink w:anchor="Par1948" w:history="1">
        <w:r>
          <w:rPr>
            <w:rFonts w:ascii="Arial" w:hAnsi="Arial" w:cs="Arial"/>
            <w:color w:val="0000FF"/>
            <w:sz w:val="20"/>
            <w:szCs w:val="20"/>
          </w:rPr>
          <w:t>абзацем вторым</w:t>
        </w:r>
      </w:hyperlink>
      <w:r>
        <w:rPr>
          <w:rFonts w:ascii="Arial" w:hAnsi="Arial" w:cs="Arial"/>
          <w:sz w:val="20"/>
          <w:szCs w:val="20"/>
        </w:rPr>
        <w:t xml:space="preserve"> настоящего пункта, и с которой в порядке, установленном </w:t>
      </w:r>
      <w:hyperlink w:anchor="Par180" w:history="1">
        <w:r>
          <w:rPr>
            <w:rFonts w:ascii="Arial" w:hAnsi="Arial" w:cs="Arial"/>
            <w:color w:val="0000FF"/>
            <w:sz w:val="20"/>
            <w:szCs w:val="20"/>
          </w:rPr>
          <w:t>разделом II</w:t>
        </w:r>
      </w:hyperlink>
      <w:r>
        <w:rPr>
          <w:rFonts w:ascii="Arial" w:hAnsi="Arial" w:cs="Arial"/>
          <w:sz w:val="20"/>
          <w:szCs w:val="20"/>
        </w:rPr>
        <w:t xml:space="preserve"> настоящего документа, начинается прием на обслуживание потребителей.</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737"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28.12.2012 N 1449)</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Уполномоченный орган субъекта Российской Федерации обязан не позднее 2 рабочих дней со дня принятия соответствующих решений опубликовать их на своем официальном сайте в сети "Интернет" и направить копии таких решений в адрес:</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738"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28.12.2012 N 1449)</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гарантирующих поставщиков, границы зон деятельности которых были определены (изменены).</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739"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28.12.2012 N 1449)</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38" w:name="Par1987"/>
      <w:bookmarkEnd w:id="238"/>
      <w:r>
        <w:rPr>
          <w:rFonts w:ascii="Arial" w:hAnsi="Arial" w:cs="Arial"/>
          <w:sz w:val="20"/>
          <w:szCs w:val="20"/>
        </w:rPr>
        <w:t>230. Изменение (объединение)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осуществляется по решению уполномоченного органа субъекта Российской Федерации в случаях, установленных настоящим документом.</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740"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30.12.2012 N 1482)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Изменение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в результате которого зона деятельности одного гарантирующего поставщика полностью переходит к другому гарантирующему поставщику, допускается только в случае изменения, связанного с принятием уполномоченным федеральным органом или уполномоченным органом субъекта Российской Федерации в соответствии с настоящим документом решения, влекущего замену гарантирующего поставщика.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741"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28.05.2015 N 508)</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Не допускается изменение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в результате которого возникает необходимость изменения групп точек поставки на оптовом рынке электроэнергии и мощности, не соответствующего критериям, установленным в договоре о присоединении к торговой системе оптового рынка.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742"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30.12.2012 N 1482, в ред. </w:t>
      </w:r>
      <w:hyperlink r:id="rId743"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28.05.2015 N 508)</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Уполномоченный орган субъекта Российской Федерации инициирует процедуру изменения (объединения) границ зон деятельности гарантирующих поставщиков в соответствии с настоящим пунктом при получении: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совместного письменного заявления об изменении границ зон деятельности, поданного гарантирующими поставщиками, которые имеют расположенные на территории одного субъекта Российской Федерации граничащие зоны деятельности, содержащего предложение об изменении границ зон деятельности таких гарантирующих поставщиков, указание на планируемые изменения групп точек поставки таких гарантирующих поставщиков на оптовом рынке, на распределение обязательств по выполнению требований </w:t>
      </w:r>
      <w:hyperlink r:id="rId744" w:history="1">
        <w:r>
          <w:rPr>
            <w:rFonts w:ascii="Arial" w:hAnsi="Arial" w:cs="Arial"/>
            <w:color w:val="0000FF"/>
            <w:sz w:val="20"/>
            <w:szCs w:val="20"/>
          </w:rPr>
          <w:t>Правил</w:t>
        </w:r>
      </w:hyperlink>
      <w:r>
        <w:rPr>
          <w:rFonts w:ascii="Arial" w:hAnsi="Arial" w:cs="Arial"/>
          <w:sz w:val="20"/>
          <w:szCs w:val="20"/>
        </w:rPr>
        <w:t xml:space="preserve"> оптового рынка и договора о присоединении к торговой системе оптового рынка по организации коммерческого учета в предлагаемых новых группах точек поставки, и срок, в течение которого такие требования будут выполнены;</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745"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30.12.2012 N 1482)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письменного заявления об объединении границ зон деятельности, поданного организацией, которой присвоен статус гарантирующего поставщика в отношении расположенных на территории одного субъекта Российской Федерации 2 и более граничащих зон деятельности, содержащего предложение об объединении границ таких зон деятельности, указание на планируемые изменения групп точек поставки таких гарантирующих поставщиков на оптовом рынке, на готовность принять обязательства по выполнению требований </w:t>
      </w:r>
      <w:hyperlink r:id="rId746" w:history="1">
        <w:r>
          <w:rPr>
            <w:rFonts w:ascii="Arial" w:hAnsi="Arial" w:cs="Arial"/>
            <w:color w:val="0000FF"/>
            <w:sz w:val="20"/>
            <w:szCs w:val="20"/>
          </w:rPr>
          <w:t>Правил</w:t>
        </w:r>
      </w:hyperlink>
      <w:r>
        <w:rPr>
          <w:rFonts w:ascii="Arial" w:hAnsi="Arial" w:cs="Arial"/>
          <w:sz w:val="20"/>
          <w:szCs w:val="20"/>
        </w:rPr>
        <w:t xml:space="preserve"> оптового рынка и договора о присоединении к торговой системе оптового рынка по организации коммерческого учета в предлагаемых новых группах точек поставки, и срок, в течение которого такие требования будут выполнены.</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747"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30.12.2012 N 1482)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целях принятия решения уполномоченный орган субъекта Российской Федерации не позднее 10 рабочих дней со дня получения указанного письменного заявления направляет запрос коммерческому оператору о возможности (невозможности) изменения (объединения) групп точек поставки соответствующих гарантирующих поставщиков на оптовом рынке в соответствии с предложениями, указанными в заявлении об изменении (объединении) границ зон деятельности. Коммерческий оператор обязан не позднее 20 рабочих дней со дня получения запроса уполномоченного органа субъекта Российской Федерации направить мотивированный ответ о возможности (невозможности) на текущий момент изменения (объединения) групп точек поставки соответствующих гарантирующих поставщиков, с использованием которых они участвуют на оптовом рынке, в соответствии с предложениями, указанными в заявлении об изменении (объединении) границ зон деятельности, и о действиях, которые необходимо осуществить для получения такой возможности.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Коммерческий оператор определяет возможность (невозможность) на текущий момент изменения групп точек поставки соответствующих гарантирующих поставщиков исходя из критериев, установленных в договоре о присоединении к торговой системе оптового рынка. Уполномоченный орган субъекта Российской Федерации принимает решение об изменении (объединении) границ зон деятельности гарантирующих поставщиков или об отказе в таком изменении (объединении) границ зон деятельности в течение 15 рабочих дней со дня получения ответа коммерческого оператора на его запрос о возможности (невозможности) изменения групп точек поставки соответствующих гарантирующих поставщиков на оптовом рынке в соответствии с их предложением.</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748"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30.12.2012 N 1482)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Решение об изменении (объединении) границ зон деятельности гарантирующих поставщиков принимается, если отсутствуют указанные основания для принятия решения об отказе в предложенном изменении (объединении) границ зон деятельности при условии, что уполномоченному органу субъекта Российской Федерации будут предоставлены официально заверенные копии оферт, направленных гарантирующим поставщиком, принимающим зону деятельности другого гарантирующего поставщика, на заключение договоров об уступке прав требования с кредиторами по договорам об оказании услуг по передаче электрической энергии и договорам, по которым осуществляется покупка электрической энергии (мощности), заключенным тем гарантирующим поставщиком, который передает свою зону деятельности.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Решение уполномоченного органа субъекта Российской Федерации об изменении (объединении) границ зон деятельности гарантирующих поставщиков должно содержать:</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информацию об основаниях изменения границ зон деятельности гарантирующих поставщиков;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описание с указанием адресов на территории поселений новых границ зон деятельности того гарантирующего поставщика, часть зоны деятельности которого была включена в зону деятельности другого гарантирующего поставщика, и другого гарантирующего поставщика, в зону деятельности которого была включена указанная часть зоны деятельности;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дату, с которой границы зон деятельности гарантирующих поставщиков считаются измененными, но не ранее выполнения гарантирующими поставщиками, границы зон деятельности которых подлежат изменению (объединению), требований </w:t>
      </w:r>
      <w:hyperlink r:id="rId749" w:history="1">
        <w:r>
          <w:rPr>
            <w:rFonts w:ascii="Arial" w:hAnsi="Arial" w:cs="Arial"/>
            <w:color w:val="0000FF"/>
            <w:sz w:val="20"/>
            <w:szCs w:val="20"/>
          </w:rPr>
          <w:t>Правил</w:t>
        </w:r>
      </w:hyperlink>
      <w:r>
        <w:rPr>
          <w:rFonts w:ascii="Arial" w:hAnsi="Arial" w:cs="Arial"/>
          <w:sz w:val="20"/>
          <w:szCs w:val="20"/>
        </w:rPr>
        <w:t xml:space="preserve"> оптового рынка для осуществления торговли электрической энергией и мощностью в измененных группах точек поставки на оптовом рынке, и с которой начинается прием на обслуживание потребителей в порядке, установленном </w:t>
      </w:r>
      <w:hyperlink w:anchor="Par180" w:history="1">
        <w:r>
          <w:rPr>
            <w:rFonts w:ascii="Arial" w:hAnsi="Arial" w:cs="Arial"/>
            <w:color w:val="0000FF"/>
            <w:sz w:val="20"/>
            <w:szCs w:val="20"/>
          </w:rPr>
          <w:t>разделом II</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уполномоченного федерального органа;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гарантирующих поставщиков, границы зон деятельности которых были изменены.</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39" w:name="Par2010"/>
      <w:bookmarkEnd w:id="239"/>
      <w:r>
        <w:rPr>
          <w:rFonts w:ascii="Arial" w:hAnsi="Arial" w:cs="Arial"/>
          <w:sz w:val="20"/>
          <w:szCs w:val="20"/>
        </w:rPr>
        <w:t>231. Изменение границ зоны деятельности гарантирующего поставщика осуществляется при изменении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определяются границы зоны деятельности соответствующего гарантирующего поставщика, в случае если такое изменение границ балансовой принадлежности объектов электросетевого хозяйства произошло исключительно в результате строительства и ввода в эксплуатацию новых объектов электросетевого хозяйства сетевой организации (энергоснабжающей организации, хозяйствующего субъекта). В этом случае границы зоны деятельности соответствующего гарантирующего поставщика определяются границами балансовой принадлежности электрических сетей сетевой организации (энергоснабжающей организации, хозяйствующего субъекта) с учетом объектов электросетевого хозяйства, вновь введенных в эксплуатацию.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смене собственника (владельца) объектов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750"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28.05.2015 N 508)</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Организация, владеющая на праве собственности или ином законном основании объектами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не позднее 10 рабочих дней со дня ввода в эксплуатацию новых объектов электросетевого хозяйства обязана уведомить уполномоченный орган субъекта Российской Федерации об изменении границ балансовой принадлежности электрических сетей. В уведомлении указывается протяженность, схема введенных в эксплуатацию электрических сетей с указанием их балансовой принадлежности и диапазона напряжения.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неисполнения указанной организацией обязанности по уведомлению уполномоченного органа субъекта Российской Федерации об изменении границ балансовой принадлежности, такое уведомление может быть направлено соответствующим гарантирующим поставщиком с указанием имеющейся у него информации. Если полученной от гарантирующего поставщика информации недостаточно для принятия решения об изменении границ зоны деятельности гарантирующего поставщика, то уполномоченный орган субъекта Российской Федерации запрашивает недостающую информацию, а организация, владеющая на праве собственности или ином законном основании объектами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обязана предоставить запрошенную информацию не позднее 15 рабочих дней со дня получения запроса.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Уполномоченный орган субъекта Российской Федерации не позднее 10 рабочих дней со дня получения уведомления об изменении границ балансовой принадлежности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принимает решение о новых границах зоны деятельности гарантирующего поставщика, которое должно содержать:</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информацию об основаниях изменения границ зон деятельности гарантирующих поставщиков;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описание с указанием адресов на территории поселений новых границ зон деятельности гарантирующего поставщика;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дату, с которой границы зон деятельности гарантирующего поставщика считаются измененными.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уполномоченного федерального органа;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гарантирующего поставщика, границы зоны деятельности которого изменены.</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232. При смене собственника (владельца) объектов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 при этом допускается изменение описания границ его зоны деятельности.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751"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28.05.2015 N 508)</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Собственник (владелец) объектов электросетевого хозяйства, по границам балансовой принадлежности которых определяются границы зоны деятельности гарантирующего поставщика, не позднее 10 рабочих дней со дня приобретения права собственности (иного законного права владения) на такие объекты обязан уведомить о таком приобретении (владении) уполномоченный орган субъекта Российской Федерации. В уведомлении указываются обстоятельства, послужившие основаниями для смены собственника (владельца) объектов электросетевого хозяйства.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752"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28.05.2015 N 508)</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неисполнения указанной обязанности такое уведомление может быть направлено гарантирующим поставщиком, чья зона деятельности определяется по границам балансовой принадлежности объектов электросетевого хозяйства, с указанием имеющейся у него информации. Если полученной от такого гарантирующего поставщика информации недостаточно для принятия решения о необходимости внесения изменений в описание границ зоны его деятельности, то уполномоченный орган субъекта Российской Федерации направляет собственнику (владельцу) соответствующих объектов электросетевого хозяйства запрос недостающей информации, а собственник (владелец) указанных объектов обязан предоставить запрошенную информацию не позднее 15 рабочих дней со дня получения запроса.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753"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28.05.2015 N 508)</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Уполномоченный орган субъекта Российской Федерации не позднее 10 рабочих дней со дня получения уведомления о смене собственника (владельца)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в случае необходимости принимает решение о внесении изменений в описание границ зоны деятельности гарантирующего поставщика, которое должно содержать:</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754"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28.05.2015 N 508)</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информацию об основаниях внесения изменений в описание границ зоны деятельности гарантирующего поставщика;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границы балансовой принадлежности, по которым определяются границы зоны деятельности гарантирующего поставщика, с указанием нового собственника (владельца) объектов электросетевого хозяйства;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755"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28.05.2015 N 508)</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дату, с которой описание границ зоны деятельности гарантирующего поставщика считается уточненным;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наименование гарантирующего поставщика, в описание границ зоны деятельности которого внесены изменения.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абзац утратил силу. - </w:t>
      </w:r>
      <w:hyperlink r:id="rId756" w:history="1">
        <w:r>
          <w:rPr>
            <w:rFonts w:ascii="Arial" w:hAnsi="Arial" w:cs="Arial"/>
            <w:color w:val="0000FF"/>
            <w:sz w:val="20"/>
            <w:szCs w:val="20"/>
          </w:rPr>
          <w:t>Постановление</w:t>
        </w:r>
      </w:hyperlink>
      <w:r>
        <w:rPr>
          <w:rFonts w:ascii="Arial" w:hAnsi="Arial" w:cs="Arial"/>
          <w:sz w:val="20"/>
          <w:szCs w:val="20"/>
        </w:rPr>
        <w:t xml:space="preserve"> Правительства РФ от 28.05.2015 N 508;</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Изменение описания границ зоны деятельности гарантирующего поставщика допускается в иных случаях при условии, что границы зоны деятельности такого гарантирующего поставщика не меняются.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757"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28.05.2015 N 508)</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Уполномоченный орган субъекта Российской Федерации не позднее 10 рабочих дней со дня получения информации об изменении описания границ зоны деятельности гарантирующего поставщика в случае наличия указанных изменений принимает решение о внесении изменений в описание границ зоны деятельности гарантирующего поставщика, которое содержит:</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758"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28.05.2015 N 508)</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информацию об основаниях внесения изменений в описание границ зоны деятельности гарантирующего поставщика;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759"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28.05.2015 N 508)</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новое описание границ зоны деятельности гарантирующего поставщика;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760"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28.05.2015 N 508)</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дату, с которой описание границ зоны деятельности гарантирующего поставщика считается измененным;</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761"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28.05.2015 N 508)</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наименование гарантирующего поставщика, в описание границ зоны деятельности которого внесены изменения.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762"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28.05.2015 N 508)</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копию такого решения в адрес федерального органа исполнительной власти в области регулирования тарифов.</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763"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28.05.2015 N 508)</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232 в ред. </w:t>
      </w:r>
      <w:hyperlink r:id="rId764"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30.12.2012 N 1482)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233. Федеральный орган исполнительной власти в области регулирования тарифов ведет федеральный информационный реестр гарантирующих поставщиков и зон их деятельности на основании сведений о присвоении организациям статуса гарантирующего поставщика, об утрате организациями статуса гарантирующего поставщика, изменении границ зон деятельности гарантирующих поставщиков и иных изменениях, связанных с деятельностью гарантирующего поставщика, предоставляемых ему уполномоченным федеральным органом, уполномоченным органом субъекта Российской Федерации, а также предоставляемых ему из иных источников информации в соответствии с настоящим документом и утверждаемым Федеральной антимонопольной службой порядком рассмотрения документов, представляемых в Федеральную антимонопольную службу для формирования и ведения федерального информационного реестра гарантирующих поставщиков и зон их деятельности.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233 введен </w:t>
      </w:r>
      <w:hyperlink r:id="rId765"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30.12.2012 N 1482; в ред. Постановлений Правительства РФ от 04.09.2015 </w:t>
      </w:r>
      <w:hyperlink r:id="rId766" w:history="1">
        <w:r>
          <w:rPr>
            <w:rFonts w:ascii="Arial" w:hAnsi="Arial" w:cs="Arial"/>
            <w:color w:val="0000FF"/>
            <w:sz w:val="20"/>
            <w:szCs w:val="20"/>
          </w:rPr>
          <w:t>N 941</w:t>
        </w:r>
      </w:hyperlink>
      <w:r>
        <w:rPr>
          <w:rFonts w:ascii="Arial" w:hAnsi="Arial" w:cs="Arial"/>
          <w:sz w:val="20"/>
          <w:szCs w:val="20"/>
        </w:rPr>
        <w:t xml:space="preserve">, от 29.06.2018 </w:t>
      </w:r>
      <w:hyperlink r:id="rId767" w:history="1">
        <w:r>
          <w:rPr>
            <w:rFonts w:ascii="Arial" w:hAnsi="Arial" w:cs="Arial"/>
            <w:color w:val="0000FF"/>
            <w:sz w:val="20"/>
            <w:szCs w:val="20"/>
          </w:rPr>
          <w:t>N 749</w:t>
        </w:r>
      </w:hyperlink>
      <w:r>
        <w:rPr>
          <w:rFonts w:ascii="Arial" w:hAnsi="Arial" w:cs="Arial"/>
          <w:sz w:val="20"/>
          <w:szCs w:val="20"/>
        </w:rPr>
        <w:t>)</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bookmarkStart w:id="240" w:name="Par2057"/>
      <w:bookmarkEnd w:id="240"/>
      <w:r>
        <w:rPr>
          <w:rFonts w:ascii="Arial" w:eastAsiaTheme="minorHAnsi" w:hAnsi="Arial" w:cs="Arial"/>
          <w:color w:val="auto"/>
          <w:sz w:val="20"/>
          <w:szCs w:val="20"/>
        </w:rPr>
        <w:t>XII. Порядок определения регулируемых цен</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на электрическую энергию (мощность), поставляемую</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на розничных рынках на территориях, объединенных</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в неценовые зоны оптового рынка, за исключением</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населения и приравненных к нему категорий</w:t>
      </w: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(введен </w:t>
      </w:r>
      <w:hyperlink r:id="rId768"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17.05.2016 N 433)</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234. Органы исполнительной власти субъектов Российской Федерации в области государственного регулирования тарифов определяют конечные регулируемые цены в соответствии с положениями настоящего раздела.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Значения конечных регулируемых цен для соответствующей ценовой категории и их составляющих рассчитываются гарантирующими поставщиками (энергосбытовыми, энергоснабжающими организациями) в соответствии с настоящим разделом с точностью до 2 знаков после запятой по правилам математического округления и публикуются гарантирующими поставщиками (энергосбытовыми, энергоснабжающими </w:t>
      </w:r>
      <w:r>
        <w:rPr>
          <w:rFonts w:ascii="Arial" w:hAnsi="Arial" w:cs="Arial"/>
          <w:sz w:val="20"/>
          <w:szCs w:val="20"/>
        </w:rPr>
        <w:lastRenderedPageBreak/>
        <w:t xml:space="preserve">организациями) на своих официальных сайтах в сети "Интернет" в сроки, указанные в </w:t>
      </w:r>
      <w:hyperlink w:anchor="Par969" w:history="1">
        <w:r>
          <w:rPr>
            <w:rFonts w:ascii="Arial" w:hAnsi="Arial" w:cs="Arial"/>
            <w:color w:val="0000FF"/>
            <w:sz w:val="20"/>
            <w:szCs w:val="20"/>
          </w:rPr>
          <w:t>разделе VII</w:t>
        </w:r>
      </w:hyperlink>
      <w:r>
        <w:rPr>
          <w:rFonts w:ascii="Arial" w:hAnsi="Arial" w:cs="Arial"/>
          <w:sz w:val="20"/>
          <w:szCs w:val="20"/>
        </w:rPr>
        <w:t xml:space="preserve"> настоящего документа, по форме, предусмотренной </w:t>
      </w:r>
      <w:hyperlink w:anchor="Par2701" w:history="1">
        <w:r>
          <w:rPr>
            <w:rFonts w:ascii="Arial" w:hAnsi="Arial" w:cs="Arial"/>
            <w:color w:val="0000FF"/>
            <w:sz w:val="20"/>
            <w:szCs w:val="20"/>
          </w:rPr>
          <w:t>приложением N 2(1)</w:t>
        </w:r>
      </w:hyperlink>
      <w:r>
        <w:rPr>
          <w:rFonts w:ascii="Arial" w:hAnsi="Arial" w:cs="Arial"/>
          <w:sz w:val="20"/>
          <w:szCs w:val="20"/>
        </w:rPr>
        <w:t xml:space="preserve"> к настоящему документу.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235. Конечная регулируемая цена для первой ценовой категории </w:t>
      </w:r>
      <w:r>
        <w:rPr>
          <w:rFonts w:ascii="Arial" w:hAnsi="Arial" w:cs="Arial"/>
          <w:noProof/>
          <w:position w:val="-9"/>
          <w:sz w:val="20"/>
          <w:szCs w:val="20"/>
          <w:lang w:eastAsia="ru-RU"/>
        </w:rPr>
        <w:drawing>
          <wp:inline distT="0" distB="0" distL="0" distR="0">
            <wp:extent cx="590550" cy="247650"/>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rPr>
          <w:rFonts w:ascii="Arial" w:hAnsi="Arial" w:cs="Arial"/>
          <w:sz w:val="20"/>
          <w:szCs w:val="20"/>
        </w:rPr>
        <w:t xml:space="preserve"> определяется органами исполнительной власти субъектов Российской Федерации в области государственного регулирования тарифов по формуле (рублей/МВт·ч):</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3238500" cy="247650"/>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3238500" cy="24765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552450" cy="238125"/>
            <wp:effectExtent l="0" t="0" r="0" b="9525"/>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552450" cy="238125"/>
                    </a:xfrm>
                    <a:prstGeom prst="rect">
                      <a:avLst/>
                    </a:prstGeom>
                    <a:noFill/>
                    <a:ln>
                      <a:noFill/>
                    </a:ln>
                  </pic:spPr>
                </pic:pic>
              </a:graphicData>
            </a:graphic>
          </wp:inline>
        </w:drawing>
      </w:r>
      <w:r>
        <w:rPr>
          <w:rFonts w:ascii="Arial" w:hAnsi="Arial" w:cs="Arial"/>
          <w:sz w:val="20"/>
          <w:szCs w:val="20"/>
        </w:rPr>
        <w:t xml:space="preserve"> -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определяемая по формуле, предусмотренной </w:t>
      </w:r>
      <w:hyperlink w:anchor="Par2087" w:history="1">
        <w:r>
          <w:rPr>
            <w:rFonts w:ascii="Arial" w:hAnsi="Arial" w:cs="Arial"/>
            <w:color w:val="0000FF"/>
            <w:sz w:val="20"/>
            <w:szCs w:val="20"/>
          </w:rPr>
          <w:t>пунктом 236</w:t>
        </w:r>
      </w:hyperlink>
      <w:r>
        <w:rPr>
          <w:rFonts w:ascii="Arial" w:hAnsi="Arial" w:cs="Arial"/>
          <w:sz w:val="20"/>
          <w:szCs w:val="20"/>
        </w:rPr>
        <w:t xml:space="preserve"> настоящего документа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514350" cy="238125"/>
            <wp:effectExtent l="0" t="0" r="0" b="9525"/>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514350" cy="238125"/>
                    </a:xfrm>
                    <a:prstGeom prst="rect">
                      <a:avLst/>
                    </a:prstGeom>
                    <a:noFill/>
                    <a:ln>
                      <a:noFill/>
                    </a:ln>
                  </pic:spPr>
                </pic:pic>
              </a:graphicData>
            </a:graphic>
          </wp:inline>
        </w:drawing>
      </w:r>
      <w:r>
        <w:rPr>
          <w:rFonts w:ascii="Arial" w:hAnsi="Arial" w:cs="Arial"/>
          <w:sz w:val="20"/>
          <w:szCs w:val="20"/>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ar2113" w:history="1">
        <w:r>
          <w:rPr>
            <w:rFonts w:ascii="Arial" w:hAnsi="Arial" w:cs="Arial"/>
            <w:color w:val="0000FF"/>
            <w:sz w:val="20"/>
            <w:szCs w:val="20"/>
          </w:rPr>
          <w:t>пунктом 238</w:t>
        </w:r>
      </w:hyperlink>
      <w:r>
        <w:rPr>
          <w:rFonts w:ascii="Arial" w:hAnsi="Arial" w:cs="Arial"/>
          <w:sz w:val="20"/>
          <w:szCs w:val="20"/>
        </w:rPr>
        <w:t xml:space="preserve"> настоящего документа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42900" cy="257175"/>
            <wp:effectExtent l="0" t="0" r="0" b="9525"/>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Pr>
          <w:rFonts w:ascii="Arial" w:hAnsi="Arial" w:cs="Arial"/>
          <w:sz w:val="20"/>
          <w:szCs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304800" cy="238125"/>
            <wp:effectExtent l="0" t="0" r="0" b="9525"/>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Pr>
          <w:rFonts w:ascii="Arial" w:hAnsi="Arial" w:cs="Arial"/>
          <w:sz w:val="20"/>
          <w:szCs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ar2432" w:history="1">
        <w:r>
          <w:rPr>
            <w:rFonts w:ascii="Arial" w:hAnsi="Arial" w:cs="Arial"/>
            <w:color w:val="0000FF"/>
            <w:sz w:val="20"/>
            <w:szCs w:val="20"/>
          </w:rPr>
          <w:t>пунктом 248</w:t>
        </w:r>
      </w:hyperlink>
      <w:r>
        <w:rPr>
          <w:rFonts w:ascii="Arial" w:hAnsi="Arial" w:cs="Arial"/>
          <w:sz w:val="20"/>
          <w:szCs w:val="20"/>
        </w:rPr>
        <w:t xml:space="preserve"> настоящего документа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457200" cy="257175"/>
            <wp:effectExtent l="0" t="0" r="0" b="9525"/>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Pr>
          <w:rFonts w:ascii="Arial" w:hAnsi="Arial" w:cs="Arial"/>
          <w:sz w:val="20"/>
          <w:szCs w:val="20"/>
        </w:rPr>
        <w:t xml:space="preserve"> - сбытовая надбавка гарантирующего поставщика, учитываемая в стоимости электрической энергии (мощности) и определяемая в отношении расчетного периода (m) и n-й группы (подгруппы) потребителей в соответствии с Основами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776"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Конечная регулируемая цена для первой ценовой категории </w:t>
      </w:r>
      <w:r>
        <w:rPr>
          <w:rFonts w:ascii="Arial" w:hAnsi="Arial" w:cs="Arial"/>
          <w:noProof/>
          <w:position w:val="-9"/>
          <w:sz w:val="20"/>
          <w:szCs w:val="20"/>
          <w:lang w:eastAsia="ru-RU"/>
        </w:rPr>
        <w:drawing>
          <wp:inline distT="0" distB="0" distL="0" distR="0">
            <wp:extent cx="590550" cy="247650"/>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rPr>
          <w:rFonts w:ascii="Arial" w:hAnsi="Arial" w:cs="Arial"/>
          <w:sz w:val="20"/>
          <w:szCs w:val="20"/>
        </w:rPr>
        <w:t xml:space="preserve">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органами исполнительной власти субъектов Российской Федерации в области государственного регулирования тарифов по формуле (рублей/МВт·ч):</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778"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28.07.2017 N 895)</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3524250" cy="247650"/>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3524250" cy="24765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780"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28.07.2017 N 895)</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lastRenderedPageBreak/>
        <w:t xml:space="preserve">где </w:t>
      </w:r>
      <w:r>
        <w:rPr>
          <w:rFonts w:ascii="Arial" w:hAnsi="Arial" w:cs="Arial"/>
          <w:noProof/>
          <w:position w:val="-9"/>
          <w:sz w:val="20"/>
          <w:szCs w:val="20"/>
          <w:lang w:eastAsia="ru-RU"/>
        </w:rPr>
        <w:drawing>
          <wp:inline distT="0" distB="0" distL="0" distR="0">
            <wp:extent cx="323850" cy="24765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Pr>
          <w:rFonts w:ascii="Arial" w:hAnsi="Arial" w:cs="Arial"/>
          <w:sz w:val="20"/>
          <w:szCs w:val="20"/>
        </w:rPr>
        <w:t xml:space="preserve"> - составляющая доведения цен (тарифов) на электрическую энергию (мощность) до базовых уровней цен (тарифов) на электрическую энергию (мощность), включенная в цену на электрическую энергию (мощность), поставляемую потребителям (покупателям) на розничных рынках, за исключением электрической энергии (мощности), поставляемой населению и приравненным к нему категориям потребителей,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первой ценовой категории и i-й группы (категории) потребителей (покупателей) в период применения в соответствии с Федеральным </w:t>
      </w:r>
      <w:hyperlink r:id="rId782" w:history="1">
        <w:r>
          <w:rPr>
            <w:rFonts w:ascii="Arial" w:hAnsi="Arial" w:cs="Arial"/>
            <w:color w:val="0000FF"/>
            <w:sz w:val="20"/>
            <w:szCs w:val="20"/>
          </w:rPr>
          <w:t>законом</w:t>
        </w:r>
      </w:hyperlink>
      <w:r>
        <w:rPr>
          <w:rFonts w:ascii="Arial" w:hAnsi="Arial" w:cs="Arial"/>
          <w:sz w:val="20"/>
          <w:szCs w:val="20"/>
        </w:rPr>
        <w:t xml:space="preserve"> "Об электроэнергетике"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в субъектах Российской Федерации, входящих в состав Дальневосточного федерального округа, планируемых на следующий период регулирования базовых уровней цен (тарифов) на электрическую энергию (мощность) (далее - надбавка к цене на мощность для субъектов Российской Федерации, входящих в состав Дальневосточного федерального округа) (рублей/МВт·ч).</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783"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28.07.2017 N 895)</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этом составляющие </w:t>
      </w:r>
      <w:r>
        <w:rPr>
          <w:rFonts w:ascii="Arial" w:hAnsi="Arial" w:cs="Arial"/>
          <w:noProof/>
          <w:position w:val="-9"/>
          <w:sz w:val="20"/>
          <w:szCs w:val="20"/>
          <w:lang w:eastAsia="ru-RU"/>
        </w:rPr>
        <w:drawing>
          <wp:inline distT="0" distB="0" distL="0" distR="0">
            <wp:extent cx="342900" cy="247650"/>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9"/>
          <w:sz w:val="20"/>
          <w:szCs w:val="20"/>
          <w:lang w:eastAsia="ru-RU"/>
        </w:rPr>
        <w:drawing>
          <wp:inline distT="0" distB="0" distL="0" distR="0">
            <wp:extent cx="323850" cy="247650"/>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Pr>
          <w:rFonts w:ascii="Arial" w:hAnsi="Arial" w:cs="Arial"/>
          <w:sz w:val="20"/>
          <w:szCs w:val="20"/>
        </w:rPr>
        <w:t xml:space="preserve"> указываются в числовом выражении, а составляющие </w:t>
      </w:r>
      <w:r>
        <w:rPr>
          <w:rFonts w:ascii="Arial" w:hAnsi="Arial" w:cs="Arial"/>
          <w:noProof/>
          <w:position w:val="-9"/>
          <w:sz w:val="20"/>
          <w:szCs w:val="20"/>
          <w:lang w:eastAsia="ru-RU"/>
        </w:rPr>
        <w:drawing>
          <wp:inline distT="0" distB="0" distL="0" distR="0">
            <wp:extent cx="552450" cy="247650"/>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552450" cy="24765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9"/>
          <w:sz w:val="20"/>
          <w:szCs w:val="20"/>
          <w:lang w:eastAsia="ru-RU"/>
        </w:rPr>
        <w:drawing>
          <wp:inline distT="0" distB="0" distL="0" distR="0">
            <wp:extent cx="514350" cy="247650"/>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9"/>
          <w:sz w:val="20"/>
          <w:szCs w:val="20"/>
          <w:lang w:eastAsia="ru-RU"/>
        </w:rPr>
        <w:drawing>
          <wp:inline distT="0" distB="0" distL="0" distR="0">
            <wp:extent cx="304800" cy="247650"/>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Pr>
          <w:rFonts w:ascii="Arial" w:hAnsi="Arial" w:cs="Arial"/>
          <w:sz w:val="20"/>
          <w:szCs w:val="20"/>
        </w:rPr>
        <w:t xml:space="preserve"> являются переменными значениями и указываются в буквенном выражении, их числовые значения рассчитываются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rFonts w:ascii="Arial" w:hAnsi="Arial" w:cs="Arial"/>
          <w:noProof/>
          <w:position w:val="-9"/>
          <w:sz w:val="20"/>
          <w:szCs w:val="20"/>
          <w:lang w:eastAsia="ru-RU"/>
        </w:rPr>
        <w:drawing>
          <wp:inline distT="0" distB="0" distL="0" distR="0">
            <wp:extent cx="457200" cy="247650"/>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Pr>
          <w:rFonts w:ascii="Arial" w:hAnsi="Arial" w:cs="Arial"/>
          <w:sz w:val="20"/>
          <w:szCs w:val="20"/>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790"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28.07.2017 N 895)</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41" w:name="Par2087"/>
      <w:bookmarkEnd w:id="241"/>
      <w:r>
        <w:rPr>
          <w:rFonts w:ascii="Arial" w:hAnsi="Arial" w:cs="Arial"/>
          <w:sz w:val="20"/>
          <w:szCs w:val="20"/>
        </w:rPr>
        <w:t xml:space="preserve">236.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w:t>
      </w:r>
      <w:r>
        <w:rPr>
          <w:rFonts w:ascii="Arial" w:hAnsi="Arial" w:cs="Arial"/>
          <w:noProof/>
          <w:position w:val="-9"/>
          <w:sz w:val="20"/>
          <w:szCs w:val="20"/>
          <w:lang w:eastAsia="ru-RU"/>
        </w:rPr>
        <w:drawing>
          <wp:inline distT="0" distB="0" distL="0" distR="0">
            <wp:extent cx="647700" cy="247650"/>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Pr>
          <w:rFonts w:ascii="Arial" w:hAnsi="Arial" w:cs="Arial"/>
          <w:sz w:val="20"/>
          <w:szCs w:val="20"/>
        </w:rPr>
        <w:t>, рассчитывается гарантирующим поставщиком (энергосбытовой, энергоснабжающей организацией) по формуле (рублей/МВт·ч):</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3352800" cy="247650"/>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3352800" cy="24765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628650" cy="238125"/>
            <wp:effectExtent l="0" t="0" r="0" b="9525"/>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628650" cy="238125"/>
                    </a:xfrm>
                    <a:prstGeom prst="rect">
                      <a:avLst/>
                    </a:prstGeom>
                    <a:noFill/>
                    <a:ln>
                      <a:noFill/>
                    </a:ln>
                  </pic:spPr>
                </pic:pic>
              </a:graphicData>
            </a:graphic>
          </wp:inline>
        </w:drawing>
      </w:r>
      <w:r>
        <w:rPr>
          <w:rFonts w:ascii="Arial" w:hAnsi="Arial" w:cs="Arial"/>
          <w:sz w:val="20"/>
          <w:szCs w:val="20"/>
        </w:rPr>
        <w:t xml:space="preserve"> - средневзвешенная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200025" cy="228600"/>
            <wp:effectExtent l="0" t="0" r="9525"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Pr>
          <w:rFonts w:ascii="Arial" w:hAnsi="Arial" w:cs="Arial"/>
          <w:sz w:val="20"/>
          <w:szCs w:val="20"/>
        </w:rP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(m) по формуле, предусмотренной </w:t>
      </w:r>
      <w:hyperlink w:anchor="Par2096" w:history="1">
        <w:r>
          <w:rPr>
            <w:rFonts w:ascii="Arial" w:hAnsi="Arial" w:cs="Arial"/>
            <w:color w:val="0000FF"/>
            <w:sz w:val="20"/>
            <w:szCs w:val="20"/>
          </w:rPr>
          <w:t>пунктом 237</w:t>
        </w:r>
      </w:hyperlink>
      <w:r>
        <w:rPr>
          <w:rFonts w:ascii="Arial" w:hAnsi="Arial" w:cs="Arial"/>
          <w:sz w:val="20"/>
          <w:szCs w:val="20"/>
        </w:rPr>
        <w:t xml:space="preserve"> настоящего документа (1/час);</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666750" cy="238125"/>
            <wp:effectExtent l="0" t="0" r="0" b="9525"/>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666750" cy="238125"/>
                    </a:xfrm>
                    <a:prstGeom prst="rect">
                      <a:avLst/>
                    </a:prstGeom>
                    <a:noFill/>
                    <a:ln>
                      <a:noFill/>
                    </a:ln>
                  </pic:spPr>
                </pic:pic>
              </a:graphicData>
            </a:graphic>
          </wp:inline>
        </w:drawing>
      </w:r>
      <w:r>
        <w:rPr>
          <w:rFonts w:ascii="Arial" w:hAnsi="Arial" w:cs="Arial"/>
          <w:sz w:val="20"/>
          <w:szCs w:val="20"/>
        </w:rPr>
        <w:t xml:space="preserve"> - средневзвешенная регулируемая цена на мощность на оптовом рынке, определенная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838200" cy="238125"/>
            <wp:effectExtent l="0" t="0" r="0" b="9525"/>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r>
        <w:rPr>
          <w:rFonts w:ascii="Arial" w:hAnsi="Arial" w:cs="Arial"/>
          <w:sz w:val="20"/>
          <w:szCs w:val="20"/>
        </w:rPr>
        <w:t xml:space="preserve"> - величина изменения средневзвешенной регулируемой цены на электрическую энергию (мощность) за расчетный период (m), связанная с учетом данных за предыдущие расчетные </w:t>
      </w:r>
      <w:r>
        <w:rPr>
          <w:rFonts w:ascii="Arial" w:hAnsi="Arial" w:cs="Arial"/>
          <w:sz w:val="20"/>
          <w:szCs w:val="20"/>
        </w:rPr>
        <w:lastRenderedPageBreak/>
        <w:t xml:space="preserve">периоды и определяемая гарантирующим поставщиком (энергосбытовой, энергоснабжающей организацией) по формуле, предусмотренной </w:t>
      </w:r>
      <w:hyperlink w:anchor="Par2132" w:history="1">
        <w:r>
          <w:rPr>
            <w:rFonts w:ascii="Arial" w:hAnsi="Arial" w:cs="Arial"/>
            <w:color w:val="0000FF"/>
            <w:sz w:val="20"/>
            <w:szCs w:val="20"/>
          </w:rPr>
          <w:t>пунктом 240</w:t>
        </w:r>
      </w:hyperlink>
      <w:r>
        <w:rPr>
          <w:rFonts w:ascii="Arial" w:hAnsi="Arial" w:cs="Arial"/>
          <w:sz w:val="20"/>
          <w:szCs w:val="20"/>
        </w:rPr>
        <w:t xml:space="preserve"> настоящего документа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42" w:name="Par2096"/>
      <w:bookmarkEnd w:id="242"/>
      <w:r>
        <w:rPr>
          <w:rFonts w:ascii="Arial" w:hAnsi="Arial" w:cs="Arial"/>
          <w:sz w:val="20"/>
          <w:szCs w:val="20"/>
        </w:rPr>
        <w:t xml:space="preserve">237. Коэффициент оплаты мощности потребителями (покупателями), осуществляющими расчеты по первой ценовой категории </w:t>
      </w:r>
      <w:r>
        <w:rPr>
          <w:rFonts w:ascii="Arial" w:hAnsi="Arial" w:cs="Arial"/>
          <w:noProof/>
          <w:position w:val="-8"/>
          <w:sz w:val="20"/>
          <w:szCs w:val="20"/>
          <w:lang w:eastAsia="ru-RU"/>
        </w:rPr>
        <w:drawing>
          <wp:inline distT="0" distB="0" distL="0" distR="0">
            <wp:extent cx="323850" cy="228600"/>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Pr>
          <w:rFonts w:ascii="Arial" w:hAnsi="Arial" w:cs="Arial"/>
          <w:sz w:val="20"/>
          <w:szCs w:val="20"/>
        </w:rPr>
        <w:t>, определяется гарантирующим поставщиком (энегосбытовой, энергоснабжающей организацией) за расчетный период (m) по формуле (1/час):</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если </w:t>
      </w:r>
      <w:r>
        <w:rPr>
          <w:rFonts w:ascii="Arial" w:hAnsi="Arial" w:cs="Arial"/>
          <w:noProof/>
          <w:position w:val="-27"/>
          <w:sz w:val="20"/>
          <w:szCs w:val="20"/>
          <w:lang w:eastAsia="ru-RU"/>
        </w:rPr>
        <w:drawing>
          <wp:inline distT="0" distB="0" distL="0" distR="0">
            <wp:extent cx="4410075" cy="476250"/>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4410075" cy="476250"/>
                    </a:xfrm>
                    <a:prstGeom prst="rect">
                      <a:avLst/>
                    </a:prstGeom>
                    <a:noFill/>
                    <a:ln>
                      <a:noFill/>
                    </a:ln>
                  </pic:spPr>
                </pic:pic>
              </a:graphicData>
            </a:graphic>
          </wp:inline>
        </w:drawing>
      </w:r>
      <w:r>
        <w:rPr>
          <w:rFonts w:ascii="Arial" w:hAnsi="Arial" w:cs="Arial"/>
          <w:sz w:val="20"/>
          <w:szCs w:val="20"/>
        </w:rPr>
        <w:t xml:space="preserve">, то </w:t>
      </w:r>
      <w:r>
        <w:rPr>
          <w:rFonts w:ascii="Arial" w:hAnsi="Arial" w:cs="Arial"/>
          <w:noProof/>
          <w:position w:val="-8"/>
          <w:sz w:val="20"/>
          <w:szCs w:val="20"/>
          <w:lang w:eastAsia="ru-RU"/>
        </w:rPr>
        <w:drawing>
          <wp:inline distT="0" distB="0" distL="0" distR="0">
            <wp:extent cx="447675" cy="228600"/>
            <wp:effectExtent l="0" t="0" r="9525"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Pr>
          <w:rFonts w:ascii="Arial" w:hAnsi="Arial" w:cs="Arial"/>
          <w:sz w:val="20"/>
          <w:szCs w:val="20"/>
        </w:rPr>
        <w:t>,</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в противном случае</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noProof/>
          <w:position w:val="-63"/>
          <w:sz w:val="20"/>
          <w:szCs w:val="20"/>
          <w:lang w:eastAsia="ru-RU"/>
        </w:rPr>
        <w:drawing>
          <wp:inline distT="0" distB="0" distL="0" distR="0">
            <wp:extent cx="5010150" cy="933450"/>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5010150" cy="93345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590550" cy="257175"/>
            <wp:effectExtent l="0" t="0" r="0" b="9525"/>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rPr>
          <w:rFonts w:ascii="Arial" w:hAnsi="Arial" w:cs="Arial"/>
          <w:sz w:val="20"/>
          <w:szCs w:val="20"/>
        </w:rPr>
        <w:t xml:space="preserve"> - фактический объем потребления электрической энергии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419100" cy="257175"/>
            <wp:effectExtent l="0" t="0" r="0" b="9525"/>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rFonts w:ascii="Arial" w:hAnsi="Arial" w:cs="Arial"/>
          <w:sz w:val="20"/>
          <w:szCs w:val="20"/>
        </w:rPr>
        <w:t xml:space="preserve"> - сумма объемов электрической энергии за расчетный период (m) производителей электрической энергии на розничном рынке, учтенных в прогнозном балансе на период регулирования, по договорам купли-продажи (поставки) электрической энергии (мощности) с соответствующим гарантирующим поставщиком, опубликованная гарантирующим поставщиком на своем официальном сайте в сети "Интернет" (МВт·ч);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666750" cy="257175"/>
            <wp:effectExtent l="0" t="0" r="0" b="9525"/>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666750" cy="257175"/>
                    </a:xfrm>
                    <a:prstGeom prst="rect">
                      <a:avLst/>
                    </a:prstGeom>
                    <a:noFill/>
                    <a:ln>
                      <a:noFill/>
                    </a:ln>
                  </pic:spPr>
                </pic:pic>
              </a:graphicData>
            </a:graphic>
          </wp:inline>
        </w:drawing>
      </w:r>
      <w:r>
        <w:rPr>
          <w:rFonts w:ascii="Arial" w:hAnsi="Arial" w:cs="Arial"/>
          <w:sz w:val="20"/>
          <w:szCs w:val="20"/>
        </w:rPr>
        <w:t xml:space="preserve"> - объем потребления электрической энергии населением и приравненными к нему категориями потребителей, равный установленным значениям для соответствующего гарантирующего поставщика (энергосбытовой, энергоснабжающей организации)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опубликованный гарантирующим поставщиком (энергосбытовой, энергоснабжающей организацией) на своем официальном сайте в сети "Интернет" (МВт·ч);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600075" cy="257175"/>
            <wp:effectExtent l="0" t="0" r="0" b="9525"/>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Pr>
          <w:rFonts w:ascii="Arial" w:hAnsi="Arial" w:cs="Arial"/>
          <w:sz w:val="20"/>
          <w:szCs w:val="20"/>
        </w:rPr>
        <w:t xml:space="preserve"> - сумма объемов потребления электрической энергии за расчетный период (m) потребителями (покупателями), осуществляющими расчеты по второй - шестой ценовым категориям, опубликованных гарантирующим поставщиком (энергосбытовой, энергоснабжающей организацией) на своем официальном сайте в сети "Интернет" (МВт·ч);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628650" cy="257175"/>
            <wp:effectExtent l="0" t="0" r="0" b="9525"/>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628650" cy="257175"/>
                    </a:xfrm>
                    <a:prstGeom prst="rect">
                      <a:avLst/>
                    </a:prstGeom>
                    <a:noFill/>
                    <a:ln>
                      <a:noFill/>
                    </a:ln>
                  </pic:spPr>
                </pic:pic>
              </a:graphicData>
            </a:graphic>
          </wp:inline>
        </w:drawing>
      </w:r>
      <w:r>
        <w:rPr>
          <w:rFonts w:ascii="Arial" w:hAnsi="Arial" w:cs="Arial"/>
          <w:sz w:val="20"/>
          <w:szCs w:val="20"/>
        </w:rPr>
        <w:t xml:space="preserve"> - объем фактического пикового потребления гарантирующего поставщика (энергосбытовой, энергоснабжающей организации) за расчетный период (m) на оптовом рынке, определенный коммерческим оператором оптового рынка,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81000" cy="257175"/>
            <wp:effectExtent l="0" t="0" r="0" b="9525"/>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Pr>
          <w:rFonts w:ascii="Arial" w:hAnsi="Arial" w:cs="Arial"/>
          <w:sz w:val="20"/>
          <w:szCs w:val="20"/>
        </w:rPr>
        <w:t xml:space="preserve"> - сумма объемов оплачиваемого сальдо-перетока мощности за расчетный период (m), учтенных в прогнозном балансе на период регулирования и приобретаемых соответствующим </w:t>
      </w:r>
      <w:r>
        <w:rPr>
          <w:rFonts w:ascii="Arial" w:hAnsi="Arial" w:cs="Arial"/>
          <w:sz w:val="20"/>
          <w:szCs w:val="20"/>
        </w:rPr>
        <w:lastRenderedPageBreak/>
        <w:t>гарантирующим поставщиком по договорам купли-продажи (поставки) электрической энергии (мощности) у производителей электрической энергии на розничном рынке, осуществляющих поставку электрической энергии (мощности) на территориях неценовых зон оптового рынка, за исключением территорий, не связанных с Единой энергетической системой России и технологически изолированными территориальными электроэнергетическими системами, опубликованная гарантирующим поставщиком на своем официальном сайте в сети "Интернет" (МВт);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628650" cy="257175"/>
            <wp:effectExtent l="0" t="0" r="0" b="9525"/>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628650" cy="257175"/>
                    </a:xfrm>
                    <a:prstGeom prst="rect">
                      <a:avLst/>
                    </a:prstGeom>
                    <a:noFill/>
                    <a:ln>
                      <a:noFill/>
                    </a:ln>
                  </pic:spPr>
                </pic:pic>
              </a:graphicData>
            </a:graphic>
          </wp:inline>
        </w:drawing>
      </w:r>
      <w:r>
        <w:rPr>
          <w:rFonts w:ascii="Arial" w:hAnsi="Arial" w:cs="Arial"/>
          <w:sz w:val="20"/>
          <w:szCs w:val="20"/>
        </w:rPr>
        <w:t xml:space="preserve"> - объем потребления мощности в соответствующий расчетный период (m) населением и приравненными к нему категориями потребителей, равный установленным значениям для соответствующего гарантирующего поставщика (энергосбытовой, энергоснабжающей организации)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опубликованный гарантирующим поставщиком (энергосбытовой, энергоснабжающей организацией) на своем официальном сайте в сети "Интернет" (МВт);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609600" cy="257175"/>
            <wp:effectExtent l="0" t="0" r="0" b="9525"/>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Pr>
          <w:rFonts w:ascii="Arial" w:hAnsi="Arial" w:cs="Arial"/>
          <w:sz w:val="20"/>
          <w:szCs w:val="20"/>
        </w:rPr>
        <w:t xml:space="preserve"> - сумма величин мощности, оплачиваемой на розничном рынке за расчетный период (m) потребителями (покупателями), осуществляющими расчеты по второй - шестой ценовым категориям, опубликованная гарантирующим поставщиком (энергосбытовой, энергоснабжающей организацией) на своем официальном сайте в сети "Интернет" (МВт).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43" w:name="Par2113"/>
      <w:bookmarkEnd w:id="243"/>
      <w:r>
        <w:rPr>
          <w:rFonts w:ascii="Arial" w:hAnsi="Arial" w:cs="Arial"/>
          <w:sz w:val="20"/>
          <w:szCs w:val="20"/>
        </w:rPr>
        <w:t xml:space="preserve">238. Цена на электрическую энергию (мощность), приобретаемую гарантирующим поставщиком на розничном рынке </w:t>
      </w:r>
      <w:r>
        <w:rPr>
          <w:rFonts w:ascii="Arial" w:hAnsi="Arial" w:cs="Arial"/>
          <w:noProof/>
          <w:position w:val="-9"/>
          <w:sz w:val="20"/>
          <w:szCs w:val="20"/>
          <w:lang w:eastAsia="ru-RU"/>
        </w:rPr>
        <w:drawing>
          <wp:inline distT="0" distB="0" distL="0" distR="0">
            <wp:extent cx="628650" cy="24765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628650" cy="247650"/>
                    </a:xfrm>
                    <a:prstGeom prst="rect">
                      <a:avLst/>
                    </a:prstGeom>
                    <a:noFill/>
                    <a:ln>
                      <a:noFill/>
                    </a:ln>
                  </pic:spPr>
                </pic:pic>
              </a:graphicData>
            </a:graphic>
          </wp:inline>
        </w:drawing>
      </w:r>
      <w:r>
        <w:rPr>
          <w:rFonts w:ascii="Arial" w:hAnsi="Arial" w:cs="Arial"/>
          <w:sz w:val="20"/>
          <w:szCs w:val="20"/>
        </w:rPr>
        <w:t>, определяется в отношении расчетного периода (m) гарантирующим поставщиком по формуле (рублей/МВт·ч):</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35"/>
          <w:sz w:val="20"/>
          <w:szCs w:val="20"/>
          <w:lang w:eastAsia="ru-RU"/>
        </w:rPr>
        <w:drawing>
          <wp:inline distT="0" distB="0" distL="0" distR="0">
            <wp:extent cx="2514600" cy="571500"/>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2514600" cy="57150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81000" cy="257175"/>
            <wp:effectExtent l="0" t="0" r="0" b="9525"/>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Pr>
          <w:rFonts w:ascii="Arial" w:hAnsi="Arial" w:cs="Arial"/>
          <w:sz w:val="20"/>
          <w:szCs w:val="20"/>
        </w:rPr>
        <w:t xml:space="preserve"> - 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определяемое в соответствии с </w:t>
      </w:r>
      <w:hyperlink w:anchor="Par1031" w:history="1">
        <w:r>
          <w:rPr>
            <w:rFonts w:ascii="Arial" w:hAnsi="Arial" w:cs="Arial"/>
            <w:color w:val="0000FF"/>
            <w:sz w:val="20"/>
            <w:szCs w:val="20"/>
          </w:rPr>
          <w:t>пунктом 113</w:t>
        </w:r>
      </w:hyperlink>
      <w:r>
        <w:rPr>
          <w:rFonts w:ascii="Arial" w:hAnsi="Arial" w:cs="Arial"/>
          <w:sz w:val="20"/>
          <w:szCs w:val="20"/>
        </w:rPr>
        <w:t xml:space="preserve"> настоящего документа (рублей);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81000" cy="257175"/>
            <wp:effectExtent l="0" t="0" r="0" b="9525"/>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Pr>
          <w:rFonts w:ascii="Arial" w:hAnsi="Arial" w:cs="Arial"/>
          <w:sz w:val="20"/>
          <w:szCs w:val="20"/>
        </w:rPr>
        <w:t xml:space="preserve"> - фактический объем потребления электрической энергии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419100" cy="257175"/>
            <wp:effectExtent l="0" t="0" r="0" b="9525"/>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rFonts w:ascii="Arial" w:hAnsi="Arial" w:cs="Arial"/>
          <w:sz w:val="20"/>
          <w:szCs w:val="20"/>
        </w:rPr>
        <w:t xml:space="preserve"> - сумма объемов электрической энергии за расчетный период (m) производителей электрической энергии на розничном рынке, учтенных в прогнозном балансе на период регулирования (за исключением объемов электрической энергии производителей электрической энергии, осуществляющих деятельность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по договорам купли-продажи (поставки) электрической энергии (мощности) с соответствующим гарантирующим поставщиком, опубликованная гарантирующим поставщиком на своем официальном сайте в сети "Интернет" (МВт·ч);</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814"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08.12.2018 N 1496)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800100" cy="257175"/>
            <wp:effectExtent l="0" t="0" r="0" b="9525"/>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Pr>
          <w:rFonts w:ascii="Arial" w:hAnsi="Arial" w:cs="Arial"/>
          <w:sz w:val="20"/>
          <w:szCs w:val="20"/>
        </w:rPr>
        <w:t xml:space="preserve"> - средневзвешенная стоимость электрической энергии (мощности), приобретаемой гарантирующим поставщиком на розничных рынках по регулируемым ценам (тарифам), приходящаяся на весь объем электрической энергии, поставляемой гарантирующим поставщиком в соответствии с утвержденным прогнозным балансом (за исключением объемов электрической энергии производителей </w:t>
      </w:r>
      <w:r>
        <w:rPr>
          <w:rFonts w:ascii="Arial" w:hAnsi="Arial" w:cs="Arial"/>
          <w:sz w:val="20"/>
          <w:szCs w:val="20"/>
        </w:rPr>
        <w:lastRenderedPageBreak/>
        <w:t>электрической энергии, осуществляющих деятельность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определенная органом исполнительной власти субъектов Российской Федерации в области государственного регулирования тарифов в соответствии с Основами ценообразования в области регулируемых цен (тарифов) в электроэнергетике (рублей/МВт·ч).</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816"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08.12.2018 N 1496)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239. Величина мощности, оплачиваемой на розничном рынке за расчетный период (m)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w:t>
      </w:r>
      <w:r>
        <w:rPr>
          <w:rFonts w:ascii="Arial" w:hAnsi="Arial" w:cs="Arial"/>
          <w:noProof/>
          <w:position w:val="-9"/>
          <w:sz w:val="20"/>
          <w:szCs w:val="20"/>
          <w:lang w:eastAsia="ru-RU"/>
        </w:rPr>
        <w:drawing>
          <wp:inline distT="0" distB="0" distL="0" distR="0">
            <wp:extent cx="723900" cy="247650"/>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r>
        <w:rPr>
          <w:rFonts w:ascii="Arial" w:hAnsi="Arial" w:cs="Arial"/>
          <w:sz w:val="20"/>
          <w:szCs w:val="20"/>
        </w:rPr>
        <w:t>, рассчитывается гарантирующим поставщиком (энергосбытовой, энергоснабжающей организацией) по формуле (МВт):</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17"/>
          <w:sz w:val="20"/>
          <w:szCs w:val="20"/>
          <w:lang w:eastAsia="ru-RU"/>
        </w:rPr>
        <w:drawing>
          <wp:inline distT="0" distB="0" distL="0" distR="0">
            <wp:extent cx="1733550" cy="342900"/>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1733550" cy="34290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Z - множество зон суток (z) расчетного периода (m), по которым дифференцируется конечная регулируемая цена, соответствующая второй ценовой категории;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419100" cy="257175"/>
            <wp:effectExtent l="0" t="0" r="0" b="9525"/>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rFonts w:ascii="Arial" w:hAnsi="Arial" w:cs="Arial"/>
          <w:sz w:val="20"/>
          <w:szCs w:val="20"/>
        </w:rPr>
        <w:t xml:space="preserve">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257175" cy="238125"/>
            <wp:effectExtent l="0" t="0" r="9525" b="9525"/>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Pr>
          <w:rFonts w:ascii="Arial" w:hAnsi="Arial" w:cs="Arial"/>
          <w:sz w:val="20"/>
          <w:szCs w:val="20"/>
        </w:rP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(энергосбытовой, энергоснабжающей организации) в отношении его зоны деятельности (для энергосбытовой, энергоснабжающей организации - группы точек поставки на оптовом рынке)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(1/час).</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44" w:name="Par2132"/>
      <w:bookmarkEnd w:id="244"/>
      <w:r>
        <w:rPr>
          <w:rFonts w:ascii="Arial" w:hAnsi="Arial" w:cs="Arial"/>
          <w:sz w:val="20"/>
          <w:szCs w:val="20"/>
        </w:rPr>
        <w:t>240. Значение средневзвешенной регулируемой цены на электрическую энергию (мощность) в отношении потребителей (покупателей), осуществляющих расчеты по первой ценовой категории, рассчитывается гарантирующим поставщиком (энергосбытовой, энергоснабжающей организацией) с учетом данных, которые относятся к предыдущим расчетным периодам, в следующих случаях:</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изменение объемов покупки либо ценовой категории потребителя (покупателя) гарантирующего поставщика (энергосбытовой, энергоснабжающей организации) на основании решения суда;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выявление факта безучетного потребления, подтвержденного актом о неучтенном потреблении электрической энергии, составленным в порядке, предусмотренном </w:t>
      </w:r>
      <w:hyperlink w:anchor="Par1220" w:history="1">
        <w:r>
          <w:rPr>
            <w:rFonts w:ascii="Arial" w:hAnsi="Arial" w:cs="Arial"/>
            <w:color w:val="0000FF"/>
            <w:sz w:val="20"/>
            <w:szCs w:val="20"/>
          </w:rPr>
          <w:t>разделом X</w:t>
        </w:r>
      </w:hyperlink>
      <w:r>
        <w:rPr>
          <w:rFonts w:ascii="Arial" w:hAnsi="Arial" w:cs="Arial"/>
          <w:sz w:val="20"/>
          <w:szCs w:val="20"/>
        </w:rPr>
        <w:t xml:space="preserve">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изменение составляющих конечных регулируемых цен и иных параметров расчета в соответствии с порядком, установленным договором о присоединении к торговой системе оптового рынка, в случае если эти изменения не были учтены при определении составляющих конечных регулируемых цен и иных параметров расчета за расчетный период.</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Средневзвешенные регулируемые цены электрической энергии (мощности) за предыдущие расчетные периоды изменению и перерасчету не подлежат.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Величина изменения средневзвешенной регулируемой цены на электрическую энергию (мощность) за расчетный период (m), связанная с учетом данных за предыдущие расчетные периоды </w:t>
      </w:r>
      <w:r>
        <w:rPr>
          <w:rFonts w:ascii="Arial" w:hAnsi="Arial" w:cs="Arial"/>
          <w:noProof/>
          <w:position w:val="-9"/>
          <w:sz w:val="20"/>
          <w:szCs w:val="20"/>
          <w:lang w:eastAsia="ru-RU"/>
        </w:rPr>
        <w:drawing>
          <wp:inline distT="0" distB="0" distL="0" distR="0">
            <wp:extent cx="971550" cy="247650"/>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971550" cy="247650"/>
                    </a:xfrm>
                    <a:prstGeom prst="rect">
                      <a:avLst/>
                    </a:prstGeom>
                    <a:noFill/>
                    <a:ln>
                      <a:noFill/>
                    </a:ln>
                  </pic:spPr>
                </pic:pic>
              </a:graphicData>
            </a:graphic>
          </wp:inline>
        </w:drawing>
      </w:r>
      <w:r>
        <w:rPr>
          <w:rFonts w:ascii="Arial" w:hAnsi="Arial" w:cs="Arial"/>
          <w:sz w:val="20"/>
          <w:szCs w:val="20"/>
        </w:rPr>
        <w:t>, определяется гарантирующим поставщиком (энергосбытовой, энергоснабжающей организацией) по формуле (рублей/МВт·ч):</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12"/>
          <w:sz w:val="20"/>
          <w:szCs w:val="20"/>
          <w:lang w:eastAsia="ru-RU"/>
        </w:rPr>
        <w:drawing>
          <wp:inline distT="0" distB="0" distL="0" distR="0">
            <wp:extent cx="4000500" cy="285750"/>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4000500" cy="28575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lastRenderedPageBreak/>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409575" cy="238125"/>
            <wp:effectExtent l="0" t="0" r="9525" b="9525"/>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r>
        <w:rPr>
          <w:rFonts w:ascii="Arial" w:hAnsi="Arial" w:cs="Arial"/>
          <w:sz w:val="20"/>
          <w:szCs w:val="20"/>
        </w:rPr>
        <w:t xml:space="preserve"> - расчетная (вспомогательная) величина изменения средневзвешенной регулируемой цены на электрическую энергию (мощность) за расчетный период (m), рассчитываемая гарантирующим поставщиком (энергосбытовой, энергоснабжающей организацией) по формуле, предусмотренной </w:t>
      </w:r>
      <w:hyperlink w:anchor="Par2146" w:history="1">
        <w:r>
          <w:rPr>
            <w:rFonts w:ascii="Arial" w:hAnsi="Arial" w:cs="Arial"/>
            <w:color w:val="0000FF"/>
            <w:sz w:val="20"/>
            <w:szCs w:val="20"/>
          </w:rPr>
          <w:t>пунктом 241</w:t>
        </w:r>
      </w:hyperlink>
      <w:r>
        <w:rPr>
          <w:rFonts w:ascii="Arial" w:hAnsi="Arial" w:cs="Arial"/>
          <w:sz w:val="20"/>
          <w:szCs w:val="20"/>
        </w:rPr>
        <w:t xml:space="preserve"> настоящего документа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628650" cy="238125"/>
            <wp:effectExtent l="0" t="0" r="0" b="9525"/>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628650" cy="238125"/>
                    </a:xfrm>
                    <a:prstGeom prst="rect">
                      <a:avLst/>
                    </a:prstGeom>
                    <a:noFill/>
                    <a:ln>
                      <a:noFill/>
                    </a:ln>
                  </pic:spPr>
                </pic:pic>
              </a:graphicData>
            </a:graphic>
          </wp:inline>
        </w:drawing>
      </w:r>
      <w:r>
        <w:rPr>
          <w:rFonts w:ascii="Arial" w:hAnsi="Arial" w:cs="Arial"/>
          <w:sz w:val="20"/>
          <w:szCs w:val="20"/>
        </w:rPr>
        <w:t xml:space="preserve"> - средневзвешенная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200025" cy="228600"/>
            <wp:effectExtent l="0" t="0" r="9525"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Pr>
          <w:rFonts w:ascii="Arial" w:hAnsi="Arial" w:cs="Arial"/>
          <w:sz w:val="20"/>
          <w:szCs w:val="20"/>
        </w:rP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(m) по формуле, предусмотренной </w:t>
      </w:r>
      <w:hyperlink w:anchor="Par2096" w:history="1">
        <w:r>
          <w:rPr>
            <w:rFonts w:ascii="Arial" w:hAnsi="Arial" w:cs="Arial"/>
            <w:color w:val="0000FF"/>
            <w:sz w:val="20"/>
            <w:szCs w:val="20"/>
          </w:rPr>
          <w:t>пунктом 237</w:t>
        </w:r>
      </w:hyperlink>
      <w:r>
        <w:rPr>
          <w:rFonts w:ascii="Arial" w:hAnsi="Arial" w:cs="Arial"/>
          <w:sz w:val="20"/>
          <w:szCs w:val="20"/>
        </w:rPr>
        <w:t xml:space="preserve"> настоящего документа (1/час);</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666750" cy="238125"/>
            <wp:effectExtent l="0" t="0" r="0" b="9525"/>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666750" cy="238125"/>
                    </a:xfrm>
                    <a:prstGeom prst="rect">
                      <a:avLst/>
                    </a:prstGeom>
                    <a:noFill/>
                    <a:ln>
                      <a:noFill/>
                    </a:ln>
                  </pic:spPr>
                </pic:pic>
              </a:graphicData>
            </a:graphic>
          </wp:inline>
        </w:drawing>
      </w:r>
      <w:r>
        <w:rPr>
          <w:rFonts w:ascii="Arial" w:hAnsi="Arial" w:cs="Arial"/>
          <w:sz w:val="20"/>
          <w:szCs w:val="20"/>
        </w:rPr>
        <w:t xml:space="preserve"> - средневзвешенная регулируемая цена на мощность на оптовом рынке, определенная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45" w:name="Par2146"/>
      <w:bookmarkEnd w:id="245"/>
      <w:r>
        <w:rPr>
          <w:rFonts w:ascii="Arial" w:hAnsi="Arial" w:cs="Arial"/>
          <w:sz w:val="20"/>
          <w:szCs w:val="20"/>
        </w:rPr>
        <w:t xml:space="preserve">241. Расчетная (вспомогательная) величина изменения средневзвешенной регулируемой цены на электрическую энергию (мощность) за расчетный период (m) </w:t>
      </w:r>
      <w:r>
        <w:rPr>
          <w:rFonts w:ascii="Arial" w:hAnsi="Arial" w:cs="Arial"/>
          <w:noProof/>
          <w:position w:val="-9"/>
          <w:sz w:val="20"/>
          <w:szCs w:val="20"/>
          <w:lang w:eastAsia="ru-RU"/>
        </w:rPr>
        <w:drawing>
          <wp:inline distT="0" distB="0" distL="0" distR="0">
            <wp:extent cx="514350" cy="247650"/>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Pr>
          <w:rFonts w:ascii="Arial" w:hAnsi="Arial" w:cs="Arial"/>
          <w:sz w:val="20"/>
          <w:szCs w:val="20"/>
        </w:rPr>
        <w:t xml:space="preserve"> рассчитывается гарантирующим поставщиком (энергосбытовой, энергоснабжающей организацией) по формуле (рублей/МВт·ч):</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33"/>
          <w:sz w:val="20"/>
          <w:szCs w:val="20"/>
          <w:lang w:eastAsia="ru-RU"/>
        </w:rPr>
        <w:drawing>
          <wp:inline distT="0" distB="0" distL="0" distR="0">
            <wp:extent cx="3486150" cy="55245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3486150" cy="55245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M - множество всех расчетных периодов (t) до периода (m-1) включительно;</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876300" cy="238125"/>
            <wp:effectExtent l="0" t="0" r="0" b="9525"/>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876300" cy="238125"/>
                    </a:xfrm>
                    <a:prstGeom prst="rect">
                      <a:avLst/>
                    </a:prstGeom>
                    <a:noFill/>
                    <a:ln>
                      <a:noFill/>
                    </a:ln>
                  </pic:spPr>
                </pic:pic>
              </a:graphicData>
            </a:graphic>
          </wp:inline>
        </w:drawing>
      </w:r>
      <w:r>
        <w:rPr>
          <w:rFonts w:ascii="Arial" w:hAnsi="Arial" w:cs="Arial"/>
          <w:sz w:val="20"/>
          <w:szCs w:val="20"/>
        </w:rPr>
        <w:t xml:space="preserve"> - сумма объемов потребления электрической энергии за предыдущий расчетный период (t) потребителями (покупателями), осуществлявшими расчеты с гарантирующим поставщиком (энергосбытовой, энергоснабжающей организацией) по первой ценовой категории, определенных с учетом данных, известных в расчетный период (m) (МВт·ч);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1019175" cy="238125"/>
            <wp:effectExtent l="0" t="0" r="9525" b="9525"/>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1019175" cy="238125"/>
                    </a:xfrm>
                    <a:prstGeom prst="rect">
                      <a:avLst/>
                    </a:prstGeom>
                    <a:noFill/>
                    <a:ln>
                      <a:noFill/>
                    </a:ln>
                  </pic:spPr>
                </pic:pic>
              </a:graphicData>
            </a:graphic>
          </wp:inline>
        </w:drawing>
      </w:r>
      <w:r>
        <w:rPr>
          <w:rFonts w:ascii="Arial" w:hAnsi="Arial" w:cs="Arial"/>
          <w:sz w:val="20"/>
          <w:szCs w:val="20"/>
        </w:rPr>
        <w:t xml:space="preserve"> -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по формуле, предусмотренной </w:t>
      </w:r>
      <w:hyperlink w:anchor="Par2156" w:history="1">
        <w:r>
          <w:rPr>
            <w:rFonts w:ascii="Arial" w:hAnsi="Arial" w:cs="Arial"/>
            <w:color w:val="0000FF"/>
            <w:sz w:val="20"/>
            <w:szCs w:val="20"/>
          </w:rPr>
          <w:t>пунктом 242</w:t>
        </w:r>
      </w:hyperlink>
      <w:r>
        <w:rPr>
          <w:rFonts w:ascii="Arial" w:hAnsi="Arial" w:cs="Arial"/>
          <w:sz w:val="20"/>
          <w:szCs w:val="20"/>
        </w:rPr>
        <w:t xml:space="preserve"> настоящего документа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552450" cy="238125"/>
            <wp:effectExtent l="0" t="0" r="0" b="9525"/>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552450" cy="238125"/>
                    </a:xfrm>
                    <a:prstGeom prst="rect">
                      <a:avLst/>
                    </a:prstGeom>
                    <a:noFill/>
                    <a:ln>
                      <a:noFill/>
                    </a:ln>
                  </pic:spPr>
                </pic:pic>
              </a:graphicData>
            </a:graphic>
          </wp:inline>
        </w:drawing>
      </w:r>
      <w:r>
        <w:rPr>
          <w:rFonts w:ascii="Arial" w:hAnsi="Arial" w:cs="Arial"/>
          <w:sz w:val="20"/>
          <w:szCs w:val="20"/>
        </w:rPr>
        <w:t xml:space="preserve"> - средневзвешенная регулируемая цена на электрическую энергию (мощность) за предыдущий расчетный период (t), определяемая гарантирующим поставщиком (энергосбытовой, энергоснабжающей организацией) в соответствии с настоящим разделом по формуле, предусмотренной </w:t>
      </w:r>
      <w:hyperlink w:anchor="Par2087" w:history="1">
        <w:r>
          <w:rPr>
            <w:rFonts w:ascii="Arial" w:hAnsi="Arial" w:cs="Arial"/>
            <w:color w:val="0000FF"/>
            <w:sz w:val="20"/>
            <w:szCs w:val="20"/>
          </w:rPr>
          <w:t>пунктом 236</w:t>
        </w:r>
      </w:hyperlink>
      <w:r>
        <w:rPr>
          <w:rFonts w:ascii="Arial" w:hAnsi="Arial" w:cs="Arial"/>
          <w:sz w:val="20"/>
          <w:szCs w:val="20"/>
        </w:rPr>
        <w:t xml:space="preserve"> настоящего документа, и опубликованная гарантирующим поставщиком (энергосбытовой, энергоснабжающей организацией) на своем официальном сайте в сети "Интернет"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419100" cy="238125"/>
            <wp:effectExtent l="0" t="0" r="0" b="9525"/>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Pr>
          <w:rFonts w:ascii="Arial" w:hAnsi="Arial" w:cs="Arial"/>
          <w:sz w:val="20"/>
          <w:szCs w:val="20"/>
        </w:rPr>
        <w:t xml:space="preserve"> -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известных в расчетный период (m) (МВт·ч).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46" w:name="Par2156"/>
      <w:bookmarkEnd w:id="246"/>
      <w:r>
        <w:rPr>
          <w:rFonts w:ascii="Arial" w:hAnsi="Arial" w:cs="Arial"/>
          <w:sz w:val="20"/>
          <w:szCs w:val="20"/>
        </w:rPr>
        <w:lastRenderedPageBreak/>
        <w:t xml:space="preserve">242.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w:t>
      </w:r>
      <w:r>
        <w:rPr>
          <w:rFonts w:ascii="Arial" w:hAnsi="Arial" w:cs="Arial"/>
          <w:noProof/>
          <w:position w:val="-9"/>
          <w:sz w:val="20"/>
          <w:szCs w:val="20"/>
          <w:lang w:eastAsia="ru-RU"/>
        </w:rPr>
        <w:drawing>
          <wp:inline distT="0" distB="0" distL="0" distR="0">
            <wp:extent cx="1123950" cy="247650"/>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1123950" cy="247650"/>
                    </a:xfrm>
                    <a:prstGeom prst="rect">
                      <a:avLst/>
                    </a:prstGeom>
                    <a:noFill/>
                    <a:ln>
                      <a:noFill/>
                    </a:ln>
                  </pic:spPr>
                </pic:pic>
              </a:graphicData>
            </a:graphic>
          </wp:inline>
        </w:drawing>
      </w:r>
      <w:r>
        <w:rPr>
          <w:rFonts w:ascii="Arial" w:hAnsi="Arial" w:cs="Arial"/>
          <w:sz w:val="20"/>
          <w:szCs w:val="20"/>
        </w:rPr>
        <w:t>, рассчитывается по формуле (рублей/МВт·ч):</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2838450" cy="247650"/>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2838450" cy="24765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628650" cy="238125"/>
            <wp:effectExtent l="0" t="0" r="0" b="9525"/>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628650" cy="238125"/>
                    </a:xfrm>
                    <a:prstGeom prst="rect">
                      <a:avLst/>
                    </a:prstGeom>
                    <a:noFill/>
                    <a:ln>
                      <a:noFill/>
                    </a:ln>
                  </pic:spPr>
                </pic:pic>
              </a:graphicData>
            </a:graphic>
          </wp:inline>
        </w:drawing>
      </w:r>
      <w:r>
        <w:rPr>
          <w:rFonts w:ascii="Arial" w:hAnsi="Arial" w:cs="Arial"/>
          <w:sz w:val="20"/>
          <w:szCs w:val="20"/>
        </w:rPr>
        <w:t xml:space="preserve"> - средневзвешенная 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(энергосбытовой, энергоснабжающей организации)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предыдущего расчетного периода (t) и опубликованная коммерческим оператором оптового рынка на своем официальном сайте в сети "Интернет"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8"/>
          <w:sz w:val="20"/>
          <w:szCs w:val="20"/>
          <w:lang w:eastAsia="ru-RU"/>
        </w:rPr>
        <w:drawing>
          <wp:inline distT="0" distB="0" distL="0" distR="0">
            <wp:extent cx="161925" cy="228600"/>
            <wp:effectExtent l="0" t="0" r="9525"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Pr>
          <w:rFonts w:ascii="Arial" w:hAnsi="Arial" w:cs="Arial"/>
          <w:sz w:val="20"/>
          <w:szCs w:val="20"/>
        </w:rP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(t), предшествующий расчетному периоду (m), по формуле, предусмотренной </w:t>
      </w:r>
      <w:hyperlink w:anchor="Par2096" w:history="1">
        <w:r>
          <w:rPr>
            <w:rFonts w:ascii="Arial" w:hAnsi="Arial" w:cs="Arial"/>
            <w:color w:val="0000FF"/>
            <w:sz w:val="20"/>
            <w:szCs w:val="20"/>
          </w:rPr>
          <w:t>пунктом 237</w:t>
        </w:r>
      </w:hyperlink>
      <w:r>
        <w:rPr>
          <w:rFonts w:ascii="Arial" w:hAnsi="Arial" w:cs="Arial"/>
          <w:sz w:val="20"/>
          <w:szCs w:val="20"/>
        </w:rPr>
        <w:t xml:space="preserve"> настоящего документа (1/час);</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666750" cy="238125"/>
            <wp:effectExtent l="0" t="0" r="0" b="9525"/>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666750" cy="238125"/>
                    </a:xfrm>
                    <a:prstGeom prst="rect">
                      <a:avLst/>
                    </a:prstGeom>
                    <a:noFill/>
                    <a:ln>
                      <a:noFill/>
                    </a:ln>
                  </pic:spPr>
                </pic:pic>
              </a:graphicData>
            </a:graphic>
          </wp:inline>
        </w:drawing>
      </w:r>
      <w:r>
        <w:rPr>
          <w:rFonts w:ascii="Arial" w:hAnsi="Arial" w:cs="Arial"/>
          <w:sz w:val="20"/>
          <w:szCs w:val="20"/>
        </w:rPr>
        <w:t xml:space="preserve"> - средневзвешенная регулируемая цена на мощность на оптовом рынке, определенная коммерческим оператором оптового рынка для соответствующего гарантирующего поставщика (энергосбытовой, энергоснабжающей организации) в отношении расчетного периода (t) и опубликованная коммерческим оператором оптового рынка на своем официальном сайте в сети "Интернет" (рублей/МВт).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243. Конечная регулируемая цена для второй ценовой категории </w:t>
      </w:r>
      <w:r>
        <w:rPr>
          <w:rFonts w:ascii="Arial" w:hAnsi="Arial" w:cs="Arial"/>
          <w:noProof/>
          <w:position w:val="-9"/>
          <w:sz w:val="20"/>
          <w:szCs w:val="20"/>
          <w:lang w:eastAsia="ru-RU"/>
        </w:rPr>
        <w:drawing>
          <wp:inline distT="0" distB="0" distL="0" distR="0">
            <wp:extent cx="590550" cy="24765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rPr>
          <w:rFonts w:ascii="Arial" w:hAnsi="Arial" w:cs="Arial"/>
          <w:sz w:val="20"/>
          <w:szCs w:val="20"/>
        </w:rPr>
        <w:t xml:space="preserve"> определяется органами исполнительной власти субъектов Российской Федерации в области государственного регулирования тарифов по формуле:</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3238500" cy="247650"/>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3238500" cy="24765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840"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552450" cy="257175"/>
            <wp:effectExtent l="0" t="0" r="0" b="9525"/>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Pr>
          <w:rFonts w:ascii="Arial" w:hAnsi="Arial" w:cs="Arial"/>
          <w:sz w:val="20"/>
          <w:szCs w:val="20"/>
        </w:rPr>
        <w:t xml:space="preserve"> - дифференцированная по зонам суток расчетного периода средневзвешенная регулируемая цена на электрическую энергию (мощность) на оптовом рынке в зоне суток (z) расчетного периода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514350" cy="238125"/>
            <wp:effectExtent l="0" t="0" r="0" b="9525"/>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514350" cy="238125"/>
                    </a:xfrm>
                    <a:prstGeom prst="rect">
                      <a:avLst/>
                    </a:prstGeom>
                    <a:noFill/>
                    <a:ln>
                      <a:noFill/>
                    </a:ln>
                  </pic:spPr>
                </pic:pic>
              </a:graphicData>
            </a:graphic>
          </wp:inline>
        </w:drawing>
      </w:r>
      <w:r>
        <w:rPr>
          <w:rFonts w:ascii="Arial" w:hAnsi="Arial" w:cs="Arial"/>
          <w:sz w:val="20"/>
          <w:szCs w:val="20"/>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ar2113" w:history="1">
        <w:r>
          <w:rPr>
            <w:rFonts w:ascii="Arial" w:hAnsi="Arial" w:cs="Arial"/>
            <w:color w:val="0000FF"/>
            <w:sz w:val="20"/>
            <w:szCs w:val="20"/>
          </w:rPr>
          <w:t>пунктом 238</w:t>
        </w:r>
      </w:hyperlink>
      <w:r>
        <w:rPr>
          <w:rFonts w:ascii="Arial" w:hAnsi="Arial" w:cs="Arial"/>
          <w:sz w:val="20"/>
          <w:szCs w:val="20"/>
        </w:rPr>
        <w:t xml:space="preserve"> настоящего документа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42900" cy="257175"/>
            <wp:effectExtent l="0" t="0" r="0" b="9525"/>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Pr>
          <w:rFonts w:ascii="Arial" w:hAnsi="Arial" w:cs="Arial"/>
          <w:sz w:val="20"/>
          <w:szCs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lastRenderedPageBreak/>
        <w:drawing>
          <wp:inline distT="0" distB="0" distL="0" distR="0">
            <wp:extent cx="304800" cy="238125"/>
            <wp:effectExtent l="0" t="0" r="0" b="9525"/>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Pr>
          <w:rFonts w:ascii="Arial" w:hAnsi="Arial" w:cs="Arial"/>
          <w:sz w:val="20"/>
          <w:szCs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ar2432" w:history="1">
        <w:r>
          <w:rPr>
            <w:rFonts w:ascii="Arial" w:hAnsi="Arial" w:cs="Arial"/>
            <w:color w:val="0000FF"/>
            <w:sz w:val="20"/>
            <w:szCs w:val="20"/>
          </w:rPr>
          <w:t>пунктом 248</w:t>
        </w:r>
      </w:hyperlink>
      <w:r>
        <w:rPr>
          <w:rFonts w:ascii="Arial" w:hAnsi="Arial" w:cs="Arial"/>
          <w:sz w:val="20"/>
          <w:szCs w:val="20"/>
        </w:rPr>
        <w:t xml:space="preserve"> настоящего документа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457200" cy="257175"/>
            <wp:effectExtent l="0" t="0" r="0" b="9525"/>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Pr>
          <w:rFonts w:ascii="Arial" w:hAnsi="Arial" w:cs="Arial"/>
          <w:sz w:val="20"/>
          <w:szCs w:val="20"/>
        </w:rPr>
        <w:t xml:space="preserve"> - сбытовая надбавка гарантирующего поставщика, учитываемая в стоимости электрической энергии (мощности) и установленная в отношении расчетного периода (m) и n-й группы (подгруппы) потребителей в соответствии с </w:t>
      </w:r>
      <w:hyperlink r:id="rId846" w:history="1">
        <w:r>
          <w:rPr>
            <w:rFonts w:ascii="Arial" w:hAnsi="Arial" w:cs="Arial"/>
            <w:color w:val="0000FF"/>
            <w:sz w:val="20"/>
            <w:szCs w:val="20"/>
          </w:rPr>
          <w:t>Основами</w:t>
        </w:r>
      </w:hyperlink>
      <w:r>
        <w:rPr>
          <w:rFonts w:ascii="Arial" w:hAnsi="Arial" w:cs="Arial"/>
          <w:sz w:val="20"/>
          <w:szCs w:val="20"/>
        </w:rP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847"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Конечная регулируемая цена для второй ценовой категории </w:t>
      </w:r>
      <w:r>
        <w:rPr>
          <w:rFonts w:ascii="Arial" w:hAnsi="Arial" w:cs="Arial"/>
          <w:noProof/>
          <w:position w:val="-9"/>
          <w:sz w:val="20"/>
          <w:szCs w:val="20"/>
          <w:lang w:eastAsia="ru-RU"/>
        </w:rPr>
        <w:drawing>
          <wp:inline distT="0" distB="0" distL="0" distR="0">
            <wp:extent cx="590550" cy="247650"/>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rPr>
          <w:rFonts w:ascii="Arial" w:hAnsi="Arial" w:cs="Arial"/>
          <w:sz w:val="20"/>
          <w:szCs w:val="20"/>
        </w:rPr>
        <w:t xml:space="preserve">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органами исполнительной власти субъектов Российской Федерации в области государственного регулирования тарифов по формуле:</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849"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28.07.2017 N 895)</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3676650" cy="247650"/>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3676650" cy="24765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851"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где </w:t>
      </w:r>
      <w:r>
        <w:rPr>
          <w:rFonts w:ascii="Arial" w:hAnsi="Arial" w:cs="Arial"/>
          <w:noProof/>
          <w:position w:val="-9"/>
          <w:sz w:val="20"/>
          <w:szCs w:val="20"/>
          <w:lang w:eastAsia="ru-RU"/>
        </w:rPr>
        <w:drawing>
          <wp:inline distT="0" distB="0" distL="0" distR="0">
            <wp:extent cx="342900" cy="247650"/>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Pr>
          <w:rFonts w:ascii="Arial" w:hAnsi="Arial" w:cs="Arial"/>
          <w:sz w:val="20"/>
          <w:szCs w:val="20"/>
        </w:rPr>
        <w:t xml:space="preserve"> - составляющая доведения цен (тарифов) на электрическую энергию (мощность) до базовых уровней цен (тарифов) на электрическую энергию (мощность), включенная в цену на электрическую энергию (мощность), поставляемую потребителям (покупателям) на розничных рынках, за исключением электрической энергии (мощности), поставляемой населению и приравненным к нему категориям потребителей,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второй ценовой категории и i-й группы (категории) потребителей (покупателей) в период применения в соответствии с Федеральным </w:t>
      </w:r>
      <w:hyperlink r:id="rId853" w:history="1">
        <w:r>
          <w:rPr>
            <w:rFonts w:ascii="Arial" w:hAnsi="Arial" w:cs="Arial"/>
            <w:color w:val="0000FF"/>
            <w:sz w:val="20"/>
            <w:szCs w:val="20"/>
          </w:rPr>
          <w:t>законом</w:t>
        </w:r>
      </w:hyperlink>
      <w:r>
        <w:rPr>
          <w:rFonts w:ascii="Arial" w:hAnsi="Arial" w:cs="Arial"/>
          <w:sz w:val="20"/>
          <w:szCs w:val="20"/>
        </w:rP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(рублей/МВт·ч).</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854"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28.07.2017 N 895)</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этом составляющие </w:t>
      </w:r>
      <w:r>
        <w:rPr>
          <w:rFonts w:ascii="Arial" w:hAnsi="Arial" w:cs="Arial"/>
          <w:noProof/>
          <w:position w:val="-9"/>
          <w:sz w:val="20"/>
          <w:szCs w:val="20"/>
          <w:lang w:eastAsia="ru-RU"/>
        </w:rPr>
        <w:drawing>
          <wp:inline distT="0" distB="0" distL="0" distR="0">
            <wp:extent cx="342900" cy="247650"/>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9"/>
          <w:sz w:val="20"/>
          <w:szCs w:val="20"/>
          <w:lang w:eastAsia="ru-RU"/>
        </w:rPr>
        <w:drawing>
          <wp:inline distT="0" distB="0" distL="0" distR="0">
            <wp:extent cx="342900" cy="247650"/>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Pr>
          <w:rFonts w:ascii="Arial" w:hAnsi="Arial" w:cs="Arial"/>
          <w:sz w:val="20"/>
          <w:szCs w:val="20"/>
        </w:rPr>
        <w:t xml:space="preserve"> указываются в числовом выражении, а составляющие </w:t>
      </w:r>
      <w:r>
        <w:rPr>
          <w:rFonts w:ascii="Arial" w:hAnsi="Arial" w:cs="Arial"/>
          <w:noProof/>
          <w:position w:val="-9"/>
          <w:sz w:val="20"/>
          <w:szCs w:val="20"/>
          <w:lang w:eastAsia="ru-RU"/>
        </w:rPr>
        <w:drawing>
          <wp:inline distT="0" distB="0" distL="0" distR="0">
            <wp:extent cx="552450" cy="247650"/>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552450" cy="24765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9"/>
          <w:sz w:val="20"/>
          <w:szCs w:val="20"/>
          <w:lang w:eastAsia="ru-RU"/>
        </w:rPr>
        <w:drawing>
          <wp:inline distT="0" distB="0" distL="0" distR="0">
            <wp:extent cx="514350" cy="24765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9"/>
          <w:sz w:val="20"/>
          <w:szCs w:val="20"/>
          <w:lang w:eastAsia="ru-RU"/>
        </w:rPr>
        <w:drawing>
          <wp:inline distT="0" distB="0" distL="0" distR="0">
            <wp:extent cx="304800" cy="247650"/>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Pr>
          <w:rFonts w:ascii="Arial" w:hAnsi="Arial" w:cs="Arial"/>
          <w:sz w:val="20"/>
          <w:szCs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rFonts w:ascii="Arial" w:hAnsi="Arial" w:cs="Arial"/>
          <w:noProof/>
          <w:position w:val="-10"/>
          <w:sz w:val="20"/>
          <w:szCs w:val="20"/>
          <w:lang w:eastAsia="ru-RU"/>
        </w:rPr>
        <w:drawing>
          <wp:inline distT="0" distB="0" distL="0" distR="0">
            <wp:extent cx="457200" cy="257175"/>
            <wp:effectExtent l="0" t="0" r="0" b="9525"/>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Pr>
          <w:rFonts w:ascii="Arial" w:hAnsi="Arial" w:cs="Arial"/>
          <w:sz w:val="20"/>
          <w:szCs w:val="20"/>
        </w:rPr>
        <w:t>,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Постановлений Правительства РФ от 28.07.2017 </w:t>
      </w:r>
      <w:hyperlink r:id="rId860" w:history="1">
        <w:r>
          <w:rPr>
            <w:rFonts w:ascii="Arial" w:hAnsi="Arial" w:cs="Arial"/>
            <w:color w:val="0000FF"/>
            <w:sz w:val="20"/>
            <w:szCs w:val="20"/>
          </w:rPr>
          <w:t>N 895</w:t>
        </w:r>
      </w:hyperlink>
      <w:r>
        <w:rPr>
          <w:rFonts w:ascii="Arial" w:hAnsi="Arial" w:cs="Arial"/>
          <w:sz w:val="20"/>
          <w:szCs w:val="20"/>
        </w:rPr>
        <w:t xml:space="preserve">, от 29.06.2018 </w:t>
      </w:r>
      <w:hyperlink r:id="rId861" w:history="1">
        <w:r>
          <w:rPr>
            <w:rFonts w:ascii="Arial" w:hAnsi="Arial" w:cs="Arial"/>
            <w:color w:val="0000FF"/>
            <w:sz w:val="20"/>
            <w:szCs w:val="20"/>
          </w:rPr>
          <w:t>N 749</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244. Конечная регулируемая цена для третьей ценовой категории состоит из ставки за электрическую энергию и ставки за мощность, которые определяются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Ставка за электрическую энергию конечной регулируемой цены для третьей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Pr>
          <w:rFonts w:ascii="Arial" w:hAnsi="Arial" w:cs="Arial"/>
          <w:noProof/>
          <w:position w:val="-9"/>
          <w:sz w:val="20"/>
          <w:szCs w:val="20"/>
          <w:lang w:eastAsia="ru-RU"/>
        </w:rPr>
        <w:drawing>
          <wp:inline distT="0" distB="0" distL="0" distR="0">
            <wp:extent cx="666750" cy="247650"/>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rPr>
          <w:rFonts w:ascii="Arial" w:hAnsi="Arial" w:cs="Arial"/>
          <w:sz w:val="20"/>
          <w:szCs w:val="20"/>
        </w:rPr>
        <w:t>, определяется по формуле (рублей/МВт·ч):</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3257550" cy="247650"/>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3257550" cy="24765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864"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590550" cy="247650"/>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rPr>
          <w:rFonts w:ascii="Arial" w:hAnsi="Arial" w:cs="Arial"/>
          <w:sz w:val="20"/>
          <w:szCs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часа (h) расчетного периода (m) коммерческим оператором оптового рынка и опубликованная им на своем официальном сайте в сети "Интернет"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514350" cy="247650"/>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Pr>
          <w:rFonts w:ascii="Arial" w:hAnsi="Arial" w:cs="Arial"/>
          <w:sz w:val="20"/>
          <w:szCs w:val="20"/>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ar2113" w:history="1">
        <w:r>
          <w:rPr>
            <w:rFonts w:ascii="Arial" w:hAnsi="Arial" w:cs="Arial"/>
            <w:color w:val="0000FF"/>
            <w:sz w:val="20"/>
            <w:szCs w:val="20"/>
          </w:rPr>
          <w:t>пунктом 238</w:t>
        </w:r>
      </w:hyperlink>
      <w:r>
        <w:rPr>
          <w:rFonts w:ascii="Arial" w:hAnsi="Arial" w:cs="Arial"/>
          <w:sz w:val="20"/>
          <w:szCs w:val="20"/>
        </w:rPr>
        <w:t xml:space="preserve"> настоящего документа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342900" cy="247650"/>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Pr>
          <w:rFonts w:ascii="Arial" w:hAnsi="Arial" w:cs="Arial"/>
          <w:sz w:val="20"/>
          <w:szCs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304800" cy="247650"/>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Pr>
          <w:rFonts w:ascii="Arial" w:hAnsi="Arial" w:cs="Arial"/>
          <w:sz w:val="20"/>
          <w:szCs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ar2432" w:history="1">
        <w:r>
          <w:rPr>
            <w:rFonts w:ascii="Arial" w:hAnsi="Arial" w:cs="Arial"/>
            <w:color w:val="0000FF"/>
            <w:sz w:val="20"/>
            <w:szCs w:val="20"/>
          </w:rPr>
          <w:t>пунктом 248</w:t>
        </w:r>
      </w:hyperlink>
      <w:r>
        <w:rPr>
          <w:rFonts w:ascii="Arial" w:hAnsi="Arial" w:cs="Arial"/>
          <w:sz w:val="20"/>
          <w:szCs w:val="20"/>
        </w:rPr>
        <w:t xml:space="preserve"> настоящего документа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81000" cy="257175"/>
            <wp:effectExtent l="0" t="0" r="0" b="9525"/>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Pr>
          <w:rFonts w:ascii="Arial" w:hAnsi="Arial" w:cs="Arial"/>
          <w:sz w:val="20"/>
          <w:szCs w:val="20"/>
        </w:rPr>
        <w:t xml:space="preserve"> - сбытовая надбавка гарантирующего поставщика, учитываемая в стоимости электрической энергии и установленная в отношении расчетного периода (m) и n-й группы (подгруппы) потребителей в соответствии с </w:t>
      </w:r>
      <w:hyperlink r:id="rId870" w:history="1">
        <w:r>
          <w:rPr>
            <w:rFonts w:ascii="Arial" w:hAnsi="Arial" w:cs="Arial"/>
            <w:color w:val="0000FF"/>
            <w:sz w:val="20"/>
            <w:szCs w:val="20"/>
          </w:rPr>
          <w:t>Основами</w:t>
        </w:r>
      </w:hyperlink>
      <w:r>
        <w:rPr>
          <w:rFonts w:ascii="Arial" w:hAnsi="Arial" w:cs="Arial"/>
          <w:sz w:val="20"/>
          <w:szCs w:val="20"/>
        </w:rP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871"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Ставка за электрическую энергию конечной регулируемой цены для третьей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Pr>
          <w:rFonts w:ascii="Arial" w:hAnsi="Arial" w:cs="Arial"/>
          <w:noProof/>
          <w:position w:val="-9"/>
          <w:sz w:val="20"/>
          <w:szCs w:val="20"/>
          <w:lang w:eastAsia="ru-RU"/>
        </w:rPr>
        <w:drawing>
          <wp:inline distT="0" distB="0" distL="0" distR="0">
            <wp:extent cx="666750" cy="247650"/>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rPr>
          <w:rFonts w:ascii="Arial" w:hAnsi="Arial" w:cs="Arial"/>
          <w:sz w:val="20"/>
          <w:szCs w:val="20"/>
        </w:rP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872"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28.07.2017 N 895)</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3829050" cy="247650"/>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3829050" cy="24765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(в ред. </w:t>
      </w:r>
      <w:hyperlink r:id="rId874"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где </w:t>
      </w:r>
      <w:r>
        <w:rPr>
          <w:rFonts w:ascii="Arial" w:hAnsi="Arial" w:cs="Arial"/>
          <w:noProof/>
          <w:position w:val="-9"/>
          <w:sz w:val="20"/>
          <w:szCs w:val="20"/>
          <w:lang w:eastAsia="ru-RU"/>
        </w:rPr>
        <w:drawing>
          <wp:inline distT="0" distB="0" distL="0" distR="0">
            <wp:extent cx="419100" cy="24765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Pr>
          <w:rFonts w:ascii="Arial" w:hAnsi="Arial" w:cs="Arial"/>
          <w:sz w:val="20"/>
          <w:szCs w:val="20"/>
        </w:rP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электрической энергии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третьей ценовой категории и i-й группы (категории) потребителей (покупателей) в период применения в соответствии с Федеральным </w:t>
      </w:r>
      <w:hyperlink r:id="rId876" w:history="1">
        <w:r>
          <w:rPr>
            <w:rFonts w:ascii="Arial" w:hAnsi="Arial" w:cs="Arial"/>
            <w:color w:val="0000FF"/>
            <w:sz w:val="20"/>
            <w:szCs w:val="20"/>
          </w:rPr>
          <w:t>законом</w:t>
        </w:r>
      </w:hyperlink>
      <w:r>
        <w:rPr>
          <w:rFonts w:ascii="Arial" w:hAnsi="Arial" w:cs="Arial"/>
          <w:sz w:val="20"/>
          <w:szCs w:val="20"/>
        </w:rP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(рублей/МВт·ч).</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877"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28.07.2017 N 895)</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этом составляющие </w:t>
      </w:r>
      <w:r>
        <w:rPr>
          <w:rFonts w:ascii="Arial" w:hAnsi="Arial" w:cs="Arial"/>
          <w:noProof/>
          <w:position w:val="-9"/>
          <w:sz w:val="20"/>
          <w:szCs w:val="20"/>
          <w:lang w:eastAsia="ru-RU"/>
        </w:rPr>
        <w:drawing>
          <wp:inline distT="0" distB="0" distL="0" distR="0">
            <wp:extent cx="342900" cy="24765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9"/>
          <w:sz w:val="20"/>
          <w:szCs w:val="20"/>
          <w:lang w:eastAsia="ru-RU"/>
        </w:rPr>
        <w:drawing>
          <wp:inline distT="0" distB="0" distL="0" distR="0">
            <wp:extent cx="419100" cy="247650"/>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Pr>
          <w:rFonts w:ascii="Arial" w:hAnsi="Arial" w:cs="Arial"/>
          <w:sz w:val="20"/>
          <w:szCs w:val="20"/>
        </w:rPr>
        <w:t xml:space="preserve"> указываются в числовом выражении, а составляющие </w:t>
      </w:r>
      <w:r>
        <w:rPr>
          <w:rFonts w:ascii="Arial" w:hAnsi="Arial" w:cs="Arial"/>
          <w:noProof/>
          <w:position w:val="-9"/>
          <w:sz w:val="20"/>
          <w:szCs w:val="20"/>
          <w:lang w:eastAsia="ru-RU"/>
        </w:rPr>
        <w:drawing>
          <wp:inline distT="0" distB="0" distL="0" distR="0">
            <wp:extent cx="590550" cy="24765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9"/>
          <w:sz w:val="20"/>
          <w:szCs w:val="20"/>
          <w:lang w:eastAsia="ru-RU"/>
        </w:rPr>
        <w:drawing>
          <wp:inline distT="0" distB="0" distL="0" distR="0">
            <wp:extent cx="514350" cy="24765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9"/>
          <w:sz w:val="20"/>
          <w:szCs w:val="20"/>
          <w:lang w:eastAsia="ru-RU"/>
        </w:rPr>
        <w:drawing>
          <wp:inline distT="0" distB="0" distL="0" distR="0">
            <wp:extent cx="304800" cy="247650"/>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Pr>
          <w:rFonts w:ascii="Arial" w:hAnsi="Arial" w:cs="Arial"/>
          <w:sz w:val="20"/>
          <w:szCs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rFonts w:ascii="Arial" w:hAnsi="Arial" w:cs="Arial"/>
          <w:noProof/>
          <w:position w:val="-10"/>
          <w:sz w:val="20"/>
          <w:szCs w:val="20"/>
          <w:lang w:eastAsia="ru-RU"/>
        </w:rPr>
        <w:drawing>
          <wp:inline distT="0" distB="0" distL="0" distR="0">
            <wp:extent cx="381000" cy="257175"/>
            <wp:effectExtent l="0" t="0" r="0" b="9525"/>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Pr>
          <w:rFonts w:ascii="Arial" w:hAnsi="Arial" w:cs="Arial"/>
          <w:sz w:val="20"/>
          <w:szCs w:val="20"/>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Постановлений Правительства РФ от 28.07.2017 </w:t>
      </w:r>
      <w:hyperlink r:id="rId883" w:history="1">
        <w:r>
          <w:rPr>
            <w:rFonts w:ascii="Arial" w:hAnsi="Arial" w:cs="Arial"/>
            <w:color w:val="0000FF"/>
            <w:sz w:val="20"/>
            <w:szCs w:val="20"/>
          </w:rPr>
          <w:t>N 895</w:t>
        </w:r>
      </w:hyperlink>
      <w:r>
        <w:rPr>
          <w:rFonts w:ascii="Arial" w:hAnsi="Arial" w:cs="Arial"/>
          <w:sz w:val="20"/>
          <w:szCs w:val="20"/>
        </w:rPr>
        <w:t xml:space="preserve">, от 29.06.2018 </w:t>
      </w:r>
      <w:hyperlink r:id="rId884" w:history="1">
        <w:r>
          <w:rPr>
            <w:rFonts w:ascii="Arial" w:hAnsi="Arial" w:cs="Arial"/>
            <w:color w:val="0000FF"/>
            <w:sz w:val="20"/>
            <w:szCs w:val="20"/>
          </w:rPr>
          <w:t>N 749</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Ставка за мощность конечной регулируемой цены для третьей ценовой категории, применяемая к поставляемому за расчетный период (m) потребителю (покупателю) объему мощности </w:t>
      </w:r>
      <w:r>
        <w:rPr>
          <w:rFonts w:ascii="Arial" w:hAnsi="Arial" w:cs="Arial"/>
          <w:noProof/>
          <w:position w:val="-9"/>
          <w:sz w:val="20"/>
          <w:szCs w:val="20"/>
          <w:lang w:eastAsia="ru-RU"/>
        </w:rPr>
        <w:drawing>
          <wp:inline distT="0" distB="0" distL="0" distR="0">
            <wp:extent cx="704850" cy="24765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rPr>
          <w:rFonts w:ascii="Arial" w:hAnsi="Arial" w:cs="Arial"/>
          <w:sz w:val="20"/>
          <w:szCs w:val="20"/>
        </w:rPr>
        <w:t>, определяется по формуле (рублей/МВт):</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886"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1238250" cy="24765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1238250" cy="24765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888"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476250" cy="247650"/>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Pr>
          <w:rFonts w:ascii="Arial" w:hAnsi="Arial" w:cs="Arial"/>
          <w:sz w:val="20"/>
          <w:szCs w:val="20"/>
        </w:rP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абзац утратил силу. - </w:t>
      </w:r>
      <w:hyperlink r:id="rId890" w:history="1">
        <w:r>
          <w:rPr>
            <w:rFonts w:ascii="Arial" w:hAnsi="Arial" w:cs="Arial"/>
            <w:color w:val="0000FF"/>
            <w:sz w:val="20"/>
            <w:szCs w:val="20"/>
          </w:rPr>
          <w:t>Постановление</w:t>
        </w:r>
      </w:hyperlink>
      <w:r>
        <w:rPr>
          <w:rFonts w:ascii="Arial" w:hAnsi="Arial" w:cs="Arial"/>
          <w:sz w:val="20"/>
          <w:szCs w:val="20"/>
        </w:rPr>
        <w:t xml:space="preserve"> Правительства РФ от 21.07.2017 N 863.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этом составляющая </w:t>
      </w:r>
      <w:r>
        <w:rPr>
          <w:rFonts w:ascii="Arial" w:hAnsi="Arial" w:cs="Arial"/>
          <w:noProof/>
          <w:position w:val="-9"/>
          <w:sz w:val="20"/>
          <w:szCs w:val="20"/>
          <w:lang w:eastAsia="ru-RU"/>
        </w:rPr>
        <w:drawing>
          <wp:inline distT="0" distB="0" distL="0" distR="0">
            <wp:extent cx="476250" cy="24765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Pr>
          <w:rFonts w:ascii="Arial" w:hAnsi="Arial" w:cs="Arial"/>
          <w:sz w:val="20"/>
          <w:szCs w:val="20"/>
        </w:rPr>
        <w:t xml:space="preserve"> является переменным значением и указывается в буквенном выражении, ее числовое значение определяется гарантирующими поставщиками (энергосбытовыми, энергоснабжающими организациями) в порядке, предусмотренном настоящим разделом.</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892"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21.07.2017 N 863)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Ставка за мощность конечной регулируемой цены для третьей ценовой категории, применяемая к поставляемому за расчетный период (m) потребителю (покупателю) объему мощности </w:t>
      </w:r>
      <w:r>
        <w:rPr>
          <w:rFonts w:ascii="Arial" w:hAnsi="Arial" w:cs="Arial"/>
          <w:noProof/>
          <w:position w:val="-9"/>
          <w:sz w:val="20"/>
          <w:szCs w:val="20"/>
          <w:lang w:eastAsia="ru-RU"/>
        </w:rPr>
        <w:drawing>
          <wp:inline distT="0" distB="0" distL="0" distR="0">
            <wp:extent cx="704850" cy="247650"/>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rPr>
          <w:rFonts w:ascii="Arial" w:hAnsi="Arial" w:cs="Arial"/>
          <w:sz w:val="20"/>
          <w:szCs w:val="20"/>
        </w:rP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894"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1771650" cy="247650"/>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1771650" cy="24765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896"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lastRenderedPageBreak/>
        <w:t xml:space="preserve">где </w:t>
      </w:r>
      <w:r>
        <w:rPr>
          <w:rFonts w:ascii="Arial" w:hAnsi="Arial" w:cs="Arial"/>
          <w:noProof/>
          <w:position w:val="-9"/>
          <w:sz w:val="20"/>
          <w:szCs w:val="20"/>
          <w:lang w:eastAsia="ru-RU"/>
        </w:rPr>
        <w:drawing>
          <wp:inline distT="0" distB="0" distL="0" distR="0">
            <wp:extent cx="438150" cy="247650"/>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Pr>
          <w:rFonts w:ascii="Arial" w:hAnsi="Arial" w:cs="Arial"/>
          <w:sz w:val="20"/>
          <w:szCs w:val="20"/>
        </w:rP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мощности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третьей ценовой категории и i-й группы (категории) потребителей (покупателей) в период применения в соответствии с Федеральным </w:t>
      </w:r>
      <w:hyperlink r:id="rId898" w:history="1">
        <w:r>
          <w:rPr>
            <w:rFonts w:ascii="Arial" w:hAnsi="Arial" w:cs="Arial"/>
            <w:color w:val="0000FF"/>
            <w:sz w:val="20"/>
            <w:szCs w:val="20"/>
          </w:rPr>
          <w:t>законом</w:t>
        </w:r>
      </w:hyperlink>
      <w:r>
        <w:rPr>
          <w:rFonts w:ascii="Arial" w:hAnsi="Arial" w:cs="Arial"/>
          <w:sz w:val="20"/>
          <w:szCs w:val="20"/>
        </w:rP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899"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28.07.2017 N 895)</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Составляющая </w:t>
      </w:r>
      <w:r>
        <w:rPr>
          <w:rFonts w:ascii="Arial" w:hAnsi="Arial" w:cs="Arial"/>
          <w:noProof/>
          <w:position w:val="-9"/>
          <w:sz w:val="20"/>
          <w:szCs w:val="20"/>
          <w:lang w:eastAsia="ru-RU"/>
        </w:rPr>
        <w:drawing>
          <wp:inline distT="0" distB="0" distL="0" distR="0">
            <wp:extent cx="438150" cy="247650"/>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Pr>
          <w:rFonts w:ascii="Arial" w:hAnsi="Arial" w:cs="Arial"/>
          <w:sz w:val="20"/>
          <w:szCs w:val="20"/>
        </w:rPr>
        <w:t xml:space="preserve"> указывается в числовом выражении.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901"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28.07.2017 N 895)</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245. Конечная регулируемая цена для четвертой ценовой категории состоит из ставки за электрическую энергию и ставок за мощность, которые определяются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Ставка за электрическую энергию конечной регулируемой цены для четвертой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Pr>
          <w:rFonts w:ascii="Arial" w:hAnsi="Arial" w:cs="Arial"/>
          <w:noProof/>
          <w:position w:val="-9"/>
          <w:sz w:val="20"/>
          <w:szCs w:val="20"/>
          <w:lang w:eastAsia="ru-RU"/>
        </w:rPr>
        <w:drawing>
          <wp:inline distT="0" distB="0" distL="0" distR="0">
            <wp:extent cx="666750" cy="247650"/>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rPr>
          <w:rFonts w:ascii="Arial" w:hAnsi="Arial" w:cs="Arial"/>
          <w:sz w:val="20"/>
          <w:szCs w:val="20"/>
        </w:rPr>
        <w:t>, определяется по формуле (рублей/МВт·ч):</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3448050" cy="247650"/>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3448050" cy="24765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904"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590550" cy="247650"/>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rPr>
          <w:rFonts w:ascii="Arial" w:hAnsi="Arial" w:cs="Arial"/>
          <w:sz w:val="20"/>
          <w:szCs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часа (h) расчетного периода (m) коммерческим оператором оптового рынка и опубликованная им на своем официальном сайте в сети "Интернет"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514350" cy="247650"/>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Pr>
          <w:rFonts w:ascii="Arial" w:hAnsi="Arial" w:cs="Arial"/>
          <w:sz w:val="20"/>
          <w:szCs w:val="20"/>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ar2113" w:history="1">
        <w:r>
          <w:rPr>
            <w:rFonts w:ascii="Arial" w:hAnsi="Arial" w:cs="Arial"/>
            <w:color w:val="0000FF"/>
            <w:sz w:val="20"/>
            <w:szCs w:val="20"/>
          </w:rPr>
          <w:t>пунктом 238</w:t>
        </w:r>
      </w:hyperlink>
      <w:r>
        <w:rPr>
          <w:rFonts w:ascii="Arial" w:hAnsi="Arial" w:cs="Arial"/>
          <w:sz w:val="20"/>
          <w:szCs w:val="20"/>
        </w:rPr>
        <w:t xml:space="preserve"> настоящего документа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438150" cy="247650"/>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Pr>
          <w:rFonts w:ascii="Arial" w:hAnsi="Arial" w:cs="Arial"/>
          <w:sz w:val="20"/>
          <w:szCs w:val="20"/>
        </w:rPr>
        <w:t xml:space="preserve"> - дифференцированная по уровням напряжения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304800" cy="247650"/>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Pr>
          <w:rFonts w:ascii="Arial" w:hAnsi="Arial" w:cs="Arial"/>
          <w:sz w:val="20"/>
          <w:szCs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ar2432" w:history="1">
        <w:r>
          <w:rPr>
            <w:rFonts w:ascii="Arial" w:hAnsi="Arial" w:cs="Arial"/>
            <w:color w:val="0000FF"/>
            <w:sz w:val="20"/>
            <w:szCs w:val="20"/>
          </w:rPr>
          <w:t>пунктом 248</w:t>
        </w:r>
      </w:hyperlink>
      <w:r>
        <w:rPr>
          <w:rFonts w:ascii="Arial" w:hAnsi="Arial" w:cs="Arial"/>
          <w:sz w:val="20"/>
          <w:szCs w:val="20"/>
        </w:rPr>
        <w:t xml:space="preserve"> настоящего документа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71475" cy="257175"/>
            <wp:effectExtent l="0" t="0" r="9525" b="9525"/>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Pr>
          <w:rFonts w:ascii="Arial" w:hAnsi="Arial" w:cs="Arial"/>
          <w:sz w:val="20"/>
          <w:szCs w:val="20"/>
        </w:rPr>
        <w:t xml:space="preserve"> - сбытовая надбавка гарантирующего поставщика, учитываемая в стоимости электрической энергии и установленная в отношении расчетного периода (m) и n-й группы (подгруппы) потребителей в соответствии с </w:t>
      </w:r>
      <w:hyperlink r:id="rId910" w:history="1">
        <w:r>
          <w:rPr>
            <w:rFonts w:ascii="Arial" w:hAnsi="Arial" w:cs="Arial"/>
            <w:color w:val="0000FF"/>
            <w:sz w:val="20"/>
            <w:szCs w:val="20"/>
          </w:rPr>
          <w:t>Основами</w:t>
        </w:r>
      </w:hyperlink>
      <w:r>
        <w:rPr>
          <w:rFonts w:ascii="Arial" w:hAnsi="Arial" w:cs="Arial"/>
          <w:sz w:val="20"/>
          <w:szCs w:val="20"/>
        </w:rP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w:t>
      </w:r>
      <w:r>
        <w:rPr>
          <w:rFonts w:ascii="Arial" w:hAnsi="Arial" w:cs="Arial"/>
          <w:sz w:val="20"/>
          <w:szCs w:val="20"/>
        </w:rPr>
        <w:lastRenderedPageBreak/>
        <w:t>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911"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Ставка за электрическую энергию конечной регулируемой цены для четвертой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Pr>
          <w:rFonts w:ascii="Arial" w:hAnsi="Arial" w:cs="Arial"/>
          <w:noProof/>
          <w:position w:val="-9"/>
          <w:sz w:val="20"/>
          <w:szCs w:val="20"/>
          <w:lang w:eastAsia="ru-RU"/>
        </w:rPr>
        <w:drawing>
          <wp:inline distT="0" distB="0" distL="0" distR="0">
            <wp:extent cx="666750" cy="247650"/>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rPr>
          <w:rFonts w:ascii="Arial" w:hAnsi="Arial" w:cs="Arial"/>
          <w:sz w:val="20"/>
          <w:szCs w:val="20"/>
        </w:rP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912"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28.07.2017 N 895)</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3886200" cy="247650"/>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3886200" cy="24765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914"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где </w:t>
      </w:r>
      <w:r>
        <w:rPr>
          <w:rFonts w:ascii="Arial" w:hAnsi="Arial" w:cs="Arial"/>
          <w:noProof/>
          <w:position w:val="-9"/>
          <w:sz w:val="20"/>
          <w:szCs w:val="20"/>
          <w:lang w:eastAsia="ru-RU"/>
        </w:rPr>
        <w:drawing>
          <wp:inline distT="0" distB="0" distL="0" distR="0">
            <wp:extent cx="342900" cy="24765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Pr>
          <w:rFonts w:ascii="Arial" w:hAnsi="Arial" w:cs="Arial"/>
          <w:sz w:val="20"/>
          <w:szCs w:val="20"/>
        </w:rP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электрической энергии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четвертой ценовой категории и i-й группы (категории) потребителей (покупателей) в период применения в соответствии с Федеральным </w:t>
      </w:r>
      <w:hyperlink r:id="rId916" w:history="1">
        <w:r>
          <w:rPr>
            <w:rFonts w:ascii="Arial" w:hAnsi="Arial" w:cs="Arial"/>
            <w:color w:val="0000FF"/>
            <w:sz w:val="20"/>
            <w:szCs w:val="20"/>
          </w:rPr>
          <w:t>законом</w:t>
        </w:r>
      </w:hyperlink>
      <w:r>
        <w:rPr>
          <w:rFonts w:ascii="Arial" w:hAnsi="Arial" w:cs="Arial"/>
          <w:sz w:val="20"/>
          <w:szCs w:val="20"/>
        </w:rP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(рублей/МВт·ч).</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917"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28.07.2017 N 895)</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этом составляющие </w:t>
      </w:r>
      <w:r>
        <w:rPr>
          <w:rFonts w:ascii="Arial" w:hAnsi="Arial" w:cs="Arial"/>
          <w:noProof/>
          <w:position w:val="-9"/>
          <w:sz w:val="20"/>
          <w:szCs w:val="20"/>
          <w:lang w:eastAsia="ru-RU"/>
        </w:rPr>
        <w:drawing>
          <wp:inline distT="0" distB="0" distL="0" distR="0">
            <wp:extent cx="438150" cy="24765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9"/>
          <w:sz w:val="20"/>
          <w:szCs w:val="20"/>
          <w:lang w:eastAsia="ru-RU"/>
        </w:rPr>
        <w:drawing>
          <wp:inline distT="0" distB="0" distL="0" distR="0">
            <wp:extent cx="342900" cy="247650"/>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Pr>
          <w:rFonts w:ascii="Arial" w:hAnsi="Arial" w:cs="Arial"/>
          <w:sz w:val="20"/>
          <w:szCs w:val="20"/>
        </w:rPr>
        <w:t xml:space="preserve"> указываются в числовом выражении, а составляющие </w:t>
      </w:r>
      <w:r>
        <w:rPr>
          <w:rFonts w:ascii="Arial" w:hAnsi="Arial" w:cs="Arial"/>
          <w:noProof/>
          <w:position w:val="-9"/>
          <w:sz w:val="20"/>
          <w:szCs w:val="20"/>
          <w:lang w:eastAsia="ru-RU"/>
        </w:rPr>
        <w:drawing>
          <wp:inline distT="0" distB="0" distL="0" distR="0">
            <wp:extent cx="590550" cy="247650"/>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9"/>
          <w:sz w:val="20"/>
          <w:szCs w:val="20"/>
          <w:lang w:eastAsia="ru-RU"/>
        </w:rPr>
        <w:drawing>
          <wp:inline distT="0" distB="0" distL="0" distR="0">
            <wp:extent cx="514350" cy="247650"/>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9"/>
          <w:sz w:val="20"/>
          <w:szCs w:val="20"/>
          <w:lang w:eastAsia="ru-RU"/>
        </w:rPr>
        <w:drawing>
          <wp:inline distT="0" distB="0" distL="0" distR="0">
            <wp:extent cx="304800" cy="247650"/>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Pr>
          <w:rFonts w:ascii="Arial" w:hAnsi="Arial" w:cs="Arial"/>
          <w:sz w:val="20"/>
          <w:szCs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rFonts w:ascii="Arial" w:hAnsi="Arial" w:cs="Arial"/>
          <w:noProof/>
          <w:position w:val="-10"/>
          <w:sz w:val="20"/>
          <w:szCs w:val="20"/>
          <w:lang w:eastAsia="ru-RU"/>
        </w:rPr>
        <w:drawing>
          <wp:inline distT="0" distB="0" distL="0" distR="0">
            <wp:extent cx="371475" cy="257175"/>
            <wp:effectExtent l="0" t="0" r="9525" b="9525"/>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Pr>
          <w:rFonts w:ascii="Arial" w:hAnsi="Arial" w:cs="Arial"/>
          <w:sz w:val="20"/>
          <w:szCs w:val="20"/>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Постановлений Правительства РФ от 28.07.2017 </w:t>
      </w:r>
      <w:hyperlink r:id="rId923" w:history="1">
        <w:r>
          <w:rPr>
            <w:rFonts w:ascii="Arial" w:hAnsi="Arial" w:cs="Arial"/>
            <w:color w:val="0000FF"/>
            <w:sz w:val="20"/>
            <w:szCs w:val="20"/>
          </w:rPr>
          <w:t>N 895</w:t>
        </w:r>
      </w:hyperlink>
      <w:r>
        <w:rPr>
          <w:rFonts w:ascii="Arial" w:hAnsi="Arial" w:cs="Arial"/>
          <w:sz w:val="20"/>
          <w:szCs w:val="20"/>
        </w:rPr>
        <w:t xml:space="preserve">, от 29.06.2018 </w:t>
      </w:r>
      <w:hyperlink r:id="rId924" w:history="1">
        <w:r>
          <w:rPr>
            <w:rFonts w:ascii="Arial" w:hAnsi="Arial" w:cs="Arial"/>
            <w:color w:val="0000FF"/>
            <w:sz w:val="20"/>
            <w:szCs w:val="20"/>
          </w:rPr>
          <w:t>N 749</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Ставка за мощность конечной регулируемой цены для четвертой ценовой категории, применяемая к поставляемому за расчетный период (m) потребителю (покупателю), принадлежащему к n-й группе (подгруппе) потребителей, объему мощности </w:t>
      </w:r>
      <w:r>
        <w:rPr>
          <w:rFonts w:ascii="Arial" w:hAnsi="Arial" w:cs="Arial"/>
          <w:noProof/>
          <w:position w:val="-9"/>
          <w:sz w:val="20"/>
          <w:szCs w:val="20"/>
          <w:lang w:eastAsia="ru-RU"/>
        </w:rPr>
        <w:drawing>
          <wp:inline distT="0" distB="0" distL="0" distR="0">
            <wp:extent cx="704850" cy="247650"/>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rPr>
          <w:rFonts w:ascii="Arial" w:hAnsi="Arial" w:cs="Arial"/>
          <w:sz w:val="20"/>
          <w:szCs w:val="20"/>
        </w:rPr>
        <w:t>, определяется по формуле (рублей/МВт):</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926"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1238250" cy="24765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1238250" cy="24765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928"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485775" cy="247650"/>
            <wp:effectExtent l="0" t="0" r="9525"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485775" cy="247650"/>
                    </a:xfrm>
                    <a:prstGeom prst="rect">
                      <a:avLst/>
                    </a:prstGeom>
                    <a:noFill/>
                    <a:ln>
                      <a:noFill/>
                    </a:ln>
                  </pic:spPr>
                </pic:pic>
              </a:graphicData>
            </a:graphic>
          </wp:inline>
        </w:drawing>
      </w:r>
      <w:r>
        <w:rPr>
          <w:rFonts w:ascii="Arial" w:hAnsi="Arial" w:cs="Arial"/>
          <w:sz w:val="20"/>
          <w:szCs w:val="20"/>
        </w:rP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абзац утратил силу. - </w:t>
      </w:r>
      <w:hyperlink r:id="rId930" w:history="1">
        <w:r>
          <w:rPr>
            <w:rFonts w:ascii="Arial" w:hAnsi="Arial" w:cs="Arial"/>
            <w:color w:val="0000FF"/>
            <w:sz w:val="20"/>
            <w:szCs w:val="20"/>
          </w:rPr>
          <w:t>Постановление</w:t>
        </w:r>
      </w:hyperlink>
      <w:r>
        <w:rPr>
          <w:rFonts w:ascii="Arial" w:hAnsi="Arial" w:cs="Arial"/>
          <w:sz w:val="20"/>
          <w:szCs w:val="20"/>
        </w:rPr>
        <w:t xml:space="preserve"> Правительства РФ от 21.07.2017 N 863.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этом составляющая </w:t>
      </w:r>
      <w:r>
        <w:rPr>
          <w:rFonts w:ascii="Arial" w:hAnsi="Arial" w:cs="Arial"/>
          <w:noProof/>
          <w:position w:val="-9"/>
          <w:sz w:val="20"/>
          <w:szCs w:val="20"/>
          <w:lang w:eastAsia="ru-RU"/>
        </w:rPr>
        <w:drawing>
          <wp:inline distT="0" distB="0" distL="0" distR="0">
            <wp:extent cx="485775" cy="247650"/>
            <wp:effectExtent l="0" t="0" r="9525"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485775" cy="247650"/>
                    </a:xfrm>
                    <a:prstGeom prst="rect">
                      <a:avLst/>
                    </a:prstGeom>
                    <a:noFill/>
                    <a:ln>
                      <a:noFill/>
                    </a:ln>
                  </pic:spPr>
                </pic:pic>
              </a:graphicData>
            </a:graphic>
          </wp:inline>
        </w:drawing>
      </w:r>
      <w:r>
        <w:rPr>
          <w:rFonts w:ascii="Arial" w:hAnsi="Arial" w:cs="Arial"/>
          <w:sz w:val="20"/>
          <w:szCs w:val="20"/>
        </w:rPr>
        <w:t xml:space="preserve"> является переменным значением и указывается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931"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21.07.2017 N 863)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Ставка за мощность конечной регулируемой цены для четвертой ценовой категории, применяемая к поставляемому за расчетный период (m) потребителю (покупателю) объему мощности </w:t>
      </w:r>
      <w:r>
        <w:rPr>
          <w:rFonts w:ascii="Arial" w:hAnsi="Arial" w:cs="Arial"/>
          <w:noProof/>
          <w:position w:val="-9"/>
          <w:sz w:val="20"/>
          <w:szCs w:val="20"/>
          <w:lang w:eastAsia="ru-RU"/>
        </w:rPr>
        <w:drawing>
          <wp:inline distT="0" distB="0" distL="0" distR="0">
            <wp:extent cx="704850" cy="247650"/>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rPr>
          <w:rFonts w:ascii="Arial" w:hAnsi="Arial" w:cs="Arial"/>
          <w:sz w:val="20"/>
          <w:szCs w:val="20"/>
        </w:rP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933"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1771650" cy="247650"/>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1771650" cy="24765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935"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где </w:t>
      </w:r>
      <w:r>
        <w:rPr>
          <w:rFonts w:ascii="Arial" w:hAnsi="Arial" w:cs="Arial"/>
          <w:noProof/>
          <w:position w:val="-9"/>
          <w:sz w:val="20"/>
          <w:szCs w:val="20"/>
          <w:lang w:eastAsia="ru-RU"/>
        </w:rPr>
        <w:drawing>
          <wp:inline distT="0" distB="0" distL="0" distR="0">
            <wp:extent cx="438150" cy="247650"/>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Pr>
          <w:rFonts w:ascii="Arial" w:hAnsi="Arial" w:cs="Arial"/>
          <w:sz w:val="20"/>
          <w:szCs w:val="20"/>
        </w:rP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мощности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четвертой ценовой категории и i-й группы (категории) потребителей (покупателей) в период применения в соответствии с Федеральным </w:t>
      </w:r>
      <w:hyperlink r:id="rId937" w:history="1">
        <w:r>
          <w:rPr>
            <w:rFonts w:ascii="Arial" w:hAnsi="Arial" w:cs="Arial"/>
            <w:color w:val="0000FF"/>
            <w:sz w:val="20"/>
            <w:szCs w:val="20"/>
          </w:rPr>
          <w:t>законом</w:t>
        </w:r>
      </w:hyperlink>
      <w:r>
        <w:rPr>
          <w:rFonts w:ascii="Arial" w:hAnsi="Arial" w:cs="Arial"/>
          <w:sz w:val="20"/>
          <w:szCs w:val="20"/>
        </w:rP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938"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28.07.2017 N 895)</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Составляющая </w:t>
      </w:r>
      <w:r>
        <w:rPr>
          <w:rFonts w:ascii="Arial" w:hAnsi="Arial" w:cs="Arial"/>
          <w:noProof/>
          <w:position w:val="-9"/>
          <w:sz w:val="20"/>
          <w:szCs w:val="20"/>
          <w:lang w:eastAsia="ru-RU"/>
        </w:rPr>
        <w:drawing>
          <wp:inline distT="0" distB="0" distL="0" distR="0">
            <wp:extent cx="438150" cy="247650"/>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Pr>
          <w:rFonts w:ascii="Arial" w:hAnsi="Arial" w:cs="Arial"/>
          <w:sz w:val="20"/>
          <w:szCs w:val="20"/>
        </w:rPr>
        <w:t xml:space="preserve"> указывается в числовом выражении.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939"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28.07.2017 N 895)</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Ставка за мощность конечной регулируемой цены для четвертой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940" w:history="1">
        <w:r>
          <w:rPr>
            <w:rFonts w:ascii="Arial" w:hAnsi="Arial" w:cs="Arial"/>
            <w:color w:val="0000FF"/>
            <w:sz w:val="20"/>
            <w:szCs w:val="20"/>
          </w:rPr>
          <w:t>Правилами</w:t>
        </w:r>
      </w:hyperlink>
      <w:r>
        <w:rPr>
          <w:rFonts w:ascii="Arial" w:hAnsi="Arial" w:cs="Arial"/>
          <w:sz w:val="20"/>
          <w:szCs w:val="20"/>
        </w:rP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Pr>
          <w:rFonts w:ascii="Arial" w:hAnsi="Arial" w:cs="Arial"/>
          <w:noProof/>
          <w:position w:val="-9"/>
          <w:sz w:val="20"/>
          <w:szCs w:val="20"/>
          <w:lang w:eastAsia="ru-RU"/>
        </w:rPr>
        <w:drawing>
          <wp:inline distT="0" distB="0" distL="0" distR="0">
            <wp:extent cx="666750" cy="247650"/>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rPr>
          <w:rFonts w:ascii="Arial" w:hAnsi="Arial" w:cs="Arial"/>
          <w:sz w:val="20"/>
          <w:szCs w:val="20"/>
        </w:rPr>
        <w:t>, определяется по формуле (рублей/МВт):</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942"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1162050" cy="24765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1162050" cy="24765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944"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419100" cy="257175"/>
            <wp:effectExtent l="0" t="0" r="0" b="9525"/>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rFonts w:ascii="Arial" w:hAnsi="Arial" w:cs="Arial"/>
          <w:sz w:val="20"/>
          <w:szCs w:val="20"/>
        </w:rP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этом составляющая </w:t>
      </w:r>
      <w:r>
        <w:rPr>
          <w:rFonts w:ascii="Arial" w:hAnsi="Arial" w:cs="Arial"/>
          <w:noProof/>
          <w:position w:val="-10"/>
          <w:sz w:val="20"/>
          <w:szCs w:val="20"/>
          <w:lang w:eastAsia="ru-RU"/>
        </w:rPr>
        <w:drawing>
          <wp:inline distT="0" distB="0" distL="0" distR="0">
            <wp:extent cx="419100" cy="257175"/>
            <wp:effectExtent l="0" t="0" r="0" b="9525"/>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rFonts w:ascii="Arial" w:hAnsi="Arial" w:cs="Arial"/>
          <w:sz w:val="20"/>
          <w:szCs w:val="20"/>
        </w:rPr>
        <w:t xml:space="preserve"> указывается в числовом выражении.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246. Конечная регулируемая цена для пятой ценовой категории состоит из ставок за электрическую энергию и ставки за мощность, которые определяются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Ставка за электрическую энергию конечной регулируемой цены для пятой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Pr>
          <w:rFonts w:ascii="Arial" w:hAnsi="Arial" w:cs="Arial"/>
          <w:noProof/>
          <w:position w:val="-10"/>
          <w:sz w:val="20"/>
          <w:szCs w:val="20"/>
          <w:lang w:eastAsia="ru-RU"/>
        </w:rPr>
        <w:drawing>
          <wp:inline distT="0" distB="0" distL="0" distR="0">
            <wp:extent cx="590550" cy="257175"/>
            <wp:effectExtent l="0" t="0" r="0" b="9525"/>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rPr>
          <w:rFonts w:ascii="Arial" w:hAnsi="Arial" w:cs="Arial"/>
          <w:sz w:val="20"/>
          <w:szCs w:val="20"/>
        </w:rPr>
        <w:t>), определяется по формуле (рублей/МВт·ч):</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3771900" cy="247650"/>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3771900" cy="24765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948"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847725" cy="257175"/>
            <wp:effectExtent l="0" t="0" r="9525" b="9525"/>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Pr>
          <w:rFonts w:ascii="Arial" w:hAnsi="Arial" w:cs="Arial"/>
          <w:sz w:val="20"/>
          <w:szCs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на оптовом рынке в отношении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официальном сайте в сети "Интернет"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514350" cy="24765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Pr>
          <w:rFonts w:ascii="Arial" w:hAnsi="Arial" w:cs="Arial"/>
          <w:sz w:val="20"/>
          <w:szCs w:val="20"/>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ar2113" w:history="1">
        <w:r>
          <w:rPr>
            <w:rFonts w:ascii="Arial" w:hAnsi="Arial" w:cs="Arial"/>
            <w:color w:val="0000FF"/>
            <w:sz w:val="20"/>
            <w:szCs w:val="20"/>
          </w:rPr>
          <w:t>пунктом 238</w:t>
        </w:r>
      </w:hyperlink>
      <w:r>
        <w:rPr>
          <w:rFonts w:ascii="Arial" w:hAnsi="Arial" w:cs="Arial"/>
          <w:sz w:val="20"/>
          <w:szCs w:val="20"/>
        </w:rPr>
        <w:t xml:space="preserve"> настоящего документа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42900" cy="257175"/>
            <wp:effectExtent l="0" t="0" r="0" b="9525"/>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Pr>
          <w:rFonts w:ascii="Arial" w:hAnsi="Arial" w:cs="Arial"/>
          <w:sz w:val="20"/>
          <w:szCs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304800" cy="247650"/>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Pr>
          <w:rFonts w:ascii="Arial" w:hAnsi="Arial" w:cs="Arial"/>
          <w:sz w:val="20"/>
          <w:szCs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ar2432" w:history="1">
        <w:r>
          <w:rPr>
            <w:rFonts w:ascii="Arial" w:hAnsi="Arial" w:cs="Arial"/>
            <w:color w:val="0000FF"/>
            <w:sz w:val="20"/>
            <w:szCs w:val="20"/>
          </w:rPr>
          <w:t>пунктом 248</w:t>
        </w:r>
      </w:hyperlink>
      <w:r>
        <w:rPr>
          <w:rFonts w:ascii="Arial" w:hAnsi="Arial" w:cs="Arial"/>
          <w:sz w:val="20"/>
          <w:szCs w:val="20"/>
        </w:rPr>
        <w:t xml:space="preserve"> настоящего документа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409575" cy="257175"/>
            <wp:effectExtent l="0" t="0" r="9525" b="9525"/>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Pr>
          <w:rFonts w:ascii="Arial" w:hAnsi="Arial" w:cs="Arial"/>
          <w:sz w:val="20"/>
          <w:szCs w:val="20"/>
        </w:rPr>
        <w:t xml:space="preserve"> - сбытовая надбавка гарантирующего поставщика, учитываемая в стоимости электрической энергии в ставке </w:t>
      </w:r>
      <w:r>
        <w:rPr>
          <w:rFonts w:ascii="Arial" w:hAnsi="Arial" w:cs="Arial"/>
          <w:noProof/>
          <w:position w:val="-10"/>
          <w:sz w:val="20"/>
          <w:szCs w:val="20"/>
          <w:lang w:eastAsia="ru-RU"/>
        </w:rPr>
        <w:drawing>
          <wp:inline distT="0" distB="0" distL="0" distR="0">
            <wp:extent cx="609600" cy="257175"/>
            <wp:effectExtent l="0" t="0" r="0" b="9525"/>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Pr>
          <w:rFonts w:ascii="Arial" w:hAnsi="Arial" w:cs="Arial"/>
          <w:sz w:val="20"/>
          <w:szCs w:val="20"/>
        </w:rPr>
        <w:t xml:space="preserve"> и определяемая в отношении расчетного периода (m) и n-й группы (подгруппы) потребителей в соответствии с </w:t>
      </w:r>
      <w:hyperlink r:id="rId955" w:history="1">
        <w:r>
          <w:rPr>
            <w:rFonts w:ascii="Arial" w:hAnsi="Arial" w:cs="Arial"/>
            <w:color w:val="0000FF"/>
            <w:sz w:val="20"/>
            <w:szCs w:val="20"/>
          </w:rPr>
          <w:t>Основами</w:t>
        </w:r>
      </w:hyperlink>
      <w:r>
        <w:rPr>
          <w:rFonts w:ascii="Arial" w:hAnsi="Arial" w:cs="Arial"/>
          <w:sz w:val="20"/>
          <w:szCs w:val="20"/>
        </w:rP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956"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Ставка за электрическую энергию конечной регулируемой цены для пятой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Pr>
          <w:rFonts w:ascii="Arial" w:hAnsi="Arial" w:cs="Arial"/>
          <w:noProof/>
          <w:position w:val="-9"/>
          <w:sz w:val="20"/>
          <w:szCs w:val="20"/>
          <w:lang w:eastAsia="ru-RU"/>
        </w:rPr>
        <w:drawing>
          <wp:inline distT="0" distB="0" distL="0" distR="0">
            <wp:extent cx="590550" cy="247650"/>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rPr>
          <w:rFonts w:ascii="Arial" w:hAnsi="Arial" w:cs="Arial"/>
          <w:sz w:val="20"/>
          <w:szCs w:val="20"/>
        </w:rP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958"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28.07.2017 N 895)</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lastRenderedPageBreak/>
        <w:drawing>
          <wp:inline distT="0" distB="0" distL="0" distR="0">
            <wp:extent cx="4286250" cy="247650"/>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4286250" cy="24765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960"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где </w:t>
      </w:r>
      <w:r>
        <w:rPr>
          <w:rFonts w:ascii="Arial" w:hAnsi="Arial" w:cs="Arial"/>
          <w:noProof/>
          <w:position w:val="-9"/>
          <w:sz w:val="20"/>
          <w:szCs w:val="20"/>
          <w:lang w:eastAsia="ru-RU"/>
        </w:rPr>
        <w:drawing>
          <wp:inline distT="0" distB="0" distL="0" distR="0">
            <wp:extent cx="419100" cy="24765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Pr>
          <w:rFonts w:ascii="Arial" w:hAnsi="Arial" w:cs="Arial"/>
          <w:sz w:val="20"/>
          <w:szCs w:val="20"/>
        </w:rP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электрической энергии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пятой ценовой категории и i-й группы (категории) потребителей (покупателей) в период применения в соответствии с Федеральным </w:t>
      </w:r>
      <w:hyperlink r:id="rId962" w:history="1">
        <w:r>
          <w:rPr>
            <w:rFonts w:ascii="Arial" w:hAnsi="Arial" w:cs="Arial"/>
            <w:color w:val="0000FF"/>
            <w:sz w:val="20"/>
            <w:szCs w:val="20"/>
          </w:rPr>
          <w:t>законом</w:t>
        </w:r>
      </w:hyperlink>
      <w:r>
        <w:rPr>
          <w:rFonts w:ascii="Arial" w:hAnsi="Arial" w:cs="Arial"/>
          <w:sz w:val="20"/>
          <w:szCs w:val="20"/>
        </w:rP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(рублей/МВт·ч).</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963"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28.07.2017 N 895)</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этом составляющие </w:t>
      </w:r>
      <w:r>
        <w:rPr>
          <w:rFonts w:ascii="Arial" w:hAnsi="Arial" w:cs="Arial"/>
          <w:noProof/>
          <w:position w:val="-9"/>
          <w:sz w:val="20"/>
          <w:szCs w:val="20"/>
          <w:lang w:eastAsia="ru-RU"/>
        </w:rPr>
        <w:drawing>
          <wp:inline distT="0" distB="0" distL="0" distR="0">
            <wp:extent cx="342900" cy="247650"/>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9"/>
          <w:sz w:val="20"/>
          <w:szCs w:val="20"/>
          <w:lang w:eastAsia="ru-RU"/>
        </w:rPr>
        <w:drawing>
          <wp:inline distT="0" distB="0" distL="0" distR="0">
            <wp:extent cx="419100" cy="247650"/>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Pr>
          <w:rFonts w:ascii="Arial" w:hAnsi="Arial" w:cs="Arial"/>
          <w:sz w:val="20"/>
          <w:szCs w:val="20"/>
        </w:rPr>
        <w:t xml:space="preserve"> указываются в числовом выражении, а составляющие </w:t>
      </w:r>
      <w:r>
        <w:rPr>
          <w:rFonts w:ascii="Arial" w:hAnsi="Arial" w:cs="Arial"/>
          <w:noProof/>
          <w:position w:val="-9"/>
          <w:sz w:val="20"/>
          <w:szCs w:val="20"/>
          <w:lang w:eastAsia="ru-RU"/>
        </w:rPr>
        <w:drawing>
          <wp:inline distT="0" distB="0" distL="0" distR="0">
            <wp:extent cx="838200" cy="247650"/>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838200" cy="24765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9"/>
          <w:sz w:val="20"/>
          <w:szCs w:val="20"/>
          <w:lang w:eastAsia="ru-RU"/>
        </w:rPr>
        <w:drawing>
          <wp:inline distT="0" distB="0" distL="0" distR="0">
            <wp:extent cx="514350" cy="24765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9"/>
          <w:sz w:val="20"/>
          <w:szCs w:val="20"/>
          <w:lang w:eastAsia="ru-RU"/>
        </w:rPr>
        <w:drawing>
          <wp:inline distT="0" distB="0" distL="0" distR="0">
            <wp:extent cx="304800" cy="24765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Pr>
          <w:rFonts w:ascii="Arial" w:hAnsi="Arial" w:cs="Arial"/>
          <w:sz w:val="20"/>
          <w:szCs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rFonts w:ascii="Arial" w:hAnsi="Arial" w:cs="Arial"/>
          <w:noProof/>
          <w:position w:val="-10"/>
          <w:sz w:val="20"/>
          <w:szCs w:val="20"/>
          <w:lang w:eastAsia="ru-RU"/>
        </w:rPr>
        <w:drawing>
          <wp:inline distT="0" distB="0" distL="0" distR="0">
            <wp:extent cx="409575" cy="257175"/>
            <wp:effectExtent l="0" t="0" r="9525" b="9525"/>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Pr>
          <w:rFonts w:ascii="Arial" w:hAnsi="Arial" w:cs="Arial"/>
          <w:sz w:val="20"/>
          <w:szCs w:val="20"/>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Постановлений Правительства РФ от 28.07.2017 </w:t>
      </w:r>
      <w:hyperlink r:id="rId969" w:history="1">
        <w:r>
          <w:rPr>
            <w:rFonts w:ascii="Arial" w:hAnsi="Arial" w:cs="Arial"/>
            <w:color w:val="0000FF"/>
            <w:sz w:val="20"/>
            <w:szCs w:val="20"/>
          </w:rPr>
          <w:t>N 895</w:t>
        </w:r>
      </w:hyperlink>
      <w:r>
        <w:rPr>
          <w:rFonts w:ascii="Arial" w:hAnsi="Arial" w:cs="Arial"/>
          <w:sz w:val="20"/>
          <w:szCs w:val="20"/>
        </w:rPr>
        <w:t xml:space="preserve">, от 29.06.2018 </w:t>
      </w:r>
      <w:hyperlink r:id="rId970" w:history="1">
        <w:r>
          <w:rPr>
            <w:rFonts w:ascii="Arial" w:hAnsi="Arial" w:cs="Arial"/>
            <w:color w:val="0000FF"/>
            <w:sz w:val="20"/>
            <w:szCs w:val="20"/>
          </w:rPr>
          <w:t>N 749</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Ставка за электрическую энергию конечной регулируемой цены для пятой ценовой категории, применяемая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за расчетный период (m) </w:t>
      </w:r>
      <w:r>
        <w:rPr>
          <w:rFonts w:ascii="Arial" w:hAnsi="Arial" w:cs="Arial"/>
          <w:noProof/>
          <w:position w:val="-9"/>
          <w:sz w:val="20"/>
          <w:szCs w:val="20"/>
          <w:lang w:eastAsia="ru-RU"/>
        </w:rPr>
        <w:drawing>
          <wp:inline distT="0" distB="0" distL="0" distR="0">
            <wp:extent cx="723900" cy="247650"/>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r>
        <w:rPr>
          <w:rFonts w:ascii="Arial" w:hAnsi="Arial" w:cs="Arial"/>
          <w:sz w:val="20"/>
          <w:szCs w:val="20"/>
        </w:rPr>
        <w:t>, определяется по формуле (рублей/МВт·ч):</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972"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1276350" cy="24765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1276350" cy="24765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974"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514350" cy="257175"/>
            <wp:effectExtent l="0" t="0" r="0" b="9525"/>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r>
        <w:rPr>
          <w:rFonts w:ascii="Arial" w:hAnsi="Arial" w:cs="Arial"/>
          <w:sz w:val="20"/>
          <w:szCs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фактического потребления над плановым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Ставка за электрическую энергию конечной регулируемой цены для пятой ценовой категории, применяемая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отношении часа (h) за расчетный период (m) </w:t>
      </w:r>
      <w:r>
        <w:rPr>
          <w:rFonts w:ascii="Arial" w:hAnsi="Arial" w:cs="Arial"/>
          <w:noProof/>
          <w:position w:val="-9"/>
          <w:sz w:val="20"/>
          <w:szCs w:val="20"/>
          <w:lang w:eastAsia="ru-RU"/>
        </w:rPr>
        <w:drawing>
          <wp:inline distT="0" distB="0" distL="0" distR="0">
            <wp:extent cx="704850" cy="247650"/>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rPr>
          <w:rFonts w:ascii="Arial" w:hAnsi="Arial" w:cs="Arial"/>
          <w:sz w:val="20"/>
          <w:szCs w:val="20"/>
        </w:rPr>
        <w:t>, определяется по формуле (рублей/МВт·ч):</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977"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1257300" cy="24765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1257300" cy="24765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979"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485775" cy="257175"/>
            <wp:effectExtent l="0" t="0" r="9525" b="9525"/>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Pr>
          <w:rFonts w:ascii="Arial" w:hAnsi="Arial" w:cs="Arial"/>
          <w:sz w:val="20"/>
          <w:szCs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w:t>
      </w:r>
      <w:r>
        <w:rPr>
          <w:rFonts w:ascii="Arial" w:hAnsi="Arial" w:cs="Arial"/>
          <w:sz w:val="20"/>
          <w:szCs w:val="20"/>
        </w:rPr>
        <w:lastRenderedPageBreak/>
        <w:t>производства (потребления) электрической энергии от объемов их планового почасового производства (потребления) в отношении объема превышения планового потребления над фактическим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Ставка за электрическую энергию конечной регулируемой цены для пятой ценовой категории, применяемая к сумме абсолютных значений разностей фактических и плановых почасовых объемов покупки электрической энергии потребителя (покупателя) в отношении расчетного периода (m) </w:t>
      </w:r>
      <w:r>
        <w:rPr>
          <w:rFonts w:ascii="Arial" w:hAnsi="Arial" w:cs="Arial"/>
          <w:noProof/>
          <w:position w:val="-9"/>
          <w:sz w:val="20"/>
          <w:szCs w:val="20"/>
          <w:lang w:eastAsia="ru-RU"/>
        </w:rPr>
        <w:drawing>
          <wp:inline distT="0" distB="0" distL="0" distR="0">
            <wp:extent cx="723900" cy="247650"/>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r>
        <w:rPr>
          <w:rFonts w:ascii="Arial" w:hAnsi="Arial" w:cs="Arial"/>
          <w:sz w:val="20"/>
          <w:szCs w:val="20"/>
        </w:rPr>
        <w:t>, определяется по формуле (рублей/МВт·ч):</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982"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12"/>
          <w:sz w:val="20"/>
          <w:szCs w:val="20"/>
          <w:lang w:eastAsia="ru-RU"/>
        </w:rPr>
        <w:drawing>
          <wp:inline distT="0" distB="0" distL="0" distR="0">
            <wp:extent cx="1581150" cy="285750"/>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1581150" cy="28575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984"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714375" cy="247650"/>
            <wp:effectExtent l="0" t="0" r="9525"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r>
        <w:rPr>
          <w:rFonts w:ascii="Arial" w:hAnsi="Arial" w:cs="Arial"/>
          <w:sz w:val="20"/>
          <w:szCs w:val="20"/>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определенная для расчетного периода (m) коммерческим оператором оптового рынка и опубликованная им на своем официальном сайте в сети "Интернет"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если </w:t>
      </w:r>
      <w:r>
        <w:rPr>
          <w:rFonts w:ascii="Arial" w:hAnsi="Arial" w:cs="Arial"/>
          <w:noProof/>
          <w:position w:val="-8"/>
          <w:sz w:val="20"/>
          <w:szCs w:val="20"/>
          <w:lang w:eastAsia="ru-RU"/>
        </w:rPr>
        <w:drawing>
          <wp:inline distT="0" distB="0" distL="0" distR="0">
            <wp:extent cx="1028700" cy="238125"/>
            <wp:effectExtent l="0" t="0" r="0" b="9525"/>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1028700" cy="23812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8"/>
          <w:sz w:val="20"/>
          <w:szCs w:val="20"/>
          <w:lang w:eastAsia="ru-RU"/>
        </w:rPr>
        <w:drawing>
          <wp:inline distT="0" distB="0" distL="0" distR="0">
            <wp:extent cx="609600" cy="238125"/>
            <wp:effectExtent l="0" t="0" r="0" b="9525"/>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Pr>
          <w:rFonts w:ascii="Arial" w:hAnsi="Arial" w:cs="Arial"/>
          <w:sz w:val="20"/>
          <w:szCs w:val="20"/>
        </w:rPr>
        <w:t xml:space="preserve"> применяется в сторону увеличения суммарной стоимости электрической энергии (мощности), приобретенной потребителем (покупателем) за расчетный период (m). В случае если </w:t>
      </w:r>
      <w:r>
        <w:rPr>
          <w:rFonts w:ascii="Arial" w:hAnsi="Arial" w:cs="Arial"/>
          <w:noProof/>
          <w:position w:val="-8"/>
          <w:sz w:val="20"/>
          <w:szCs w:val="20"/>
          <w:lang w:eastAsia="ru-RU"/>
        </w:rPr>
        <w:drawing>
          <wp:inline distT="0" distB="0" distL="0" distR="0">
            <wp:extent cx="952500" cy="238125"/>
            <wp:effectExtent l="0" t="0" r="0" b="9525"/>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952500" cy="23812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8"/>
          <w:sz w:val="20"/>
          <w:szCs w:val="20"/>
          <w:lang w:eastAsia="ru-RU"/>
        </w:rPr>
        <w:drawing>
          <wp:inline distT="0" distB="0" distL="0" distR="0">
            <wp:extent cx="609600" cy="238125"/>
            <wp:effectExtent l="0" t="0" r="0" b="9525"/>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Pr>
          <w:rFonts w:ascii="Arial" w:hAnsi="Arial" w:cs="Arial"/>
          <w:sz w:val="20"/>
          <w:szCs w:val="20"/>
        </w:rPr>
        <w:t xml:space="preserve"> применяется в сторону уменьшения суммарной стоимости электрической энергии (мощности), приобретенной потребителем (покупателем) за расчетный период (m).</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989"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Ставка за мощность конечной регулируемой цены для пятой ценовой категории, применяемая к поставляемому потребителю (покупателю) объему мощности за расчетный период (m) </w:t>
      </w:r>
      <w:r>
        <w:rPr>
          <w:rFonts w:ascii="Arial" w:hAnsi="Arial" w:cs="Arial"/>
          <w:noProof/>
          <w:position w:val="-9"/>
          <w:sz w:val="20"/>
          <w:szCs w:val="20"/>
          <w:lang w:eastAsia="ru-RU"/>
        </w:rPr>
        <w:drawing>
          <wp:inline distT="0" distB="0" distL="0" distR="0">
            <wp:extent cx="704850" cy="247650"/>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rPr>
          <w:rFonts w:ascii="Arial" w:hAnsi="Arial" w:cs="Arial"/>
          <w:sz w:val="20"/>
          <w:szCs w:val="20"/>
        </w:rPr>
        <w:t>, определяется по формуле (рублей/МВт):</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991"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1238250" cy="247650"/>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1238250" cy="24765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993"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485775" cy="247650"/>
            <wp:effectExtent l="0" t="0" r="9525"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485775" cy="247650"/>
                    </a:xfrm>
                    <a:prstGeom prst="rect">
                      <a:avLst/>
                    </a:prstGeom>
                    <a:noFill/>
                    <a:ln>
                      <a:noFill/>
                    </a:ln>
                  </pic:spPr>
                </pic:pic>
              </a:graphicData>
            </a:graphic>
          </wp:inline>
        </w:drawing>
      </w:r>
      <w:r>
        <w:rPr>
          <w:rFonts w:ascii="Arial" w:hAnsi="Arial" w:cs="Arial"/>
          <w:sz w:val="20"/>
          <w:szCs w:val="20"/>
        </w:rP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абзац утратил силу. - </w:t>
      </w:r>
      <w:hyperlink r:id="rId995" w:history="1">
        <w:r>
          <w:rPr>
            <w:rFonts w:ascii="Arial" w:hAnsi="Arial" w:cs="Arial"/>
            <w:color w:val="0000FF"/>
            <w:sz w:val="20"/>
            <w:szCs w:val="20"/>
          </w:rPr>
          <w:t>Постановление</w:t>
        </w:r>
      </w:hyperlink>
      <w:r>
        <w:rPr>
          <w:rFonts w:ascii="Arial" w:hAnsi="Arial" w:cs="Arial"/>
          <w:sz w:val="20"/>
          <w:szCs w:val="20"/>
        </w:rPr>
        <w:t xml:space="preserve"> Правительства РФ от 21.07.2017 N 863.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этом составляющие </w:t>
      </w:r>
      <w:r>
        <w:rPr>
          <w:rFonts w:ascii="Arial" w:hAnsi="Arial" w:cs="Arial"/>
          <w:noProof/>
          <w:position w:val="-10"/>
          <w:sz w:val="20"/>
          <w:szCs w:val="20"/>
          <w:lang w:eastAsia="ru-RU"/>
        </w:rPr>
        <w:drawing>
          <wp:inline distT="0" distB="0" distL="0" distR="0">
            <wp:extent cx="514350" cy="257175"/>
            <wp:effectExtent l="0" t="0" r="0" b="9525"/>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10"/>
          <w:sz w:val="20"/>
          <w:szCs w:val="20"/>
          <w:lang w:eastAsia="ru-RU"/>
        </w:rPr>
        <w:drawing>
          <wp:inline distT="0" distB="0" distL="0" distR="0">
            <wp:extent cx="495300" cy="257175"/>
            <wp:effectExtent l="0" t="0" r="0" b="9525"/>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9"/>
          <w:sz w:val="20"/>
          <w:szCs w:val="20"/>
          <w:lang w:eastAsia="ru-RU"/>
        </w:rPr>
        <w:drawing>
          <wp:inline distT="0" distB="0" distL="0" distR="0">
            <wp:extent cx="714375" cy="247650"/>
            <wp:effectExtent l="0" t="0" r="9525"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9"/>
          <w:sz w:val="20"/>
          <w:szCs w:val="20"/>
          <w:lang w:eastAsia="ru-RU"/>
        </w:rPr>
        <w:drawing>
          <wp:inline distT="0" distB="0" distL="0" distR="0">
            <wp:extent cx="485775" cy="247650"/>
            <wp:effectExtent l="0" t="0" r="9525"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485775" cy="247650"/>
                    </a:xfrm>
                    <a:prstGeom prst="rect">
                      <a:avLst/>
                    </a:prstGeom>
                    <a:noFill/>
                    <a:ln>
                      <a:noFill/>
                    </a:ln>
                  </pic:spPr>
                </pic:pic>
              </a:graphicData>
            </a:graphic>
          </wp:inline>
        </w:drawing>
      </w:r>
      <w:r>
        <w:rPr>
          <w:rFonts w:ascii="Arial" w:hAnsi="Arial" w:cs="Arial"/>
          <w:sz w:val="20"/>
          <w:szCs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Постановлений Правительства РФ от 21.07.2017 </w:t>
      </w:r>
      <w:hyperlink r:id="rId998" w:history="1">
        <w:r>
          <w:rPr>
            <w:rFonts w:ascii="Arial" w:hAnsi="Arial" w:cs="Arial"/>
            <w:color w:val="0000FF"/>
            <w:sz w:val="20"/>
            <w:szCs w:val="20"/>
          </w:rPr>
          <w:t>N 863</w:t>
        </w:r>
      </w:hyperlink>
      <w:r>
        <w:rPr>
          <w:rFonts w:ascii="Arial" w:hAnsi="Arial" w:cs="Arial"/>
          <w:sz w:val="20"/>
          <w:szCs w:val="20"/>
        </w:rPr>
        <w:t xml:space="preserve">, от 29.06.2018 </w:t>
      </w:r>
      <w:hyperlink r:id="rId999" w:history="1">
        <w:r>
          <w:rPr>
            <w:rFonts w:ascii="Arial" w:hAnsi="Arial" w:cs="Arial"/>
            <w:color w:val="0000FF"/>
            <w:sz w:val="20"/>
            <w:szCs w:val="20"/>
          </w:rPr>
          <w:t>N 749</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Ставка за мощность конечной регулируемой цены для пятой ценовой категории, применяемая к поставляемому потребителю (покупателю) объему мощности за расчетный период (m) </w:t>
      </w:r>
      <w:r>
        <w:rPr>
          <w:rFonts w:ascii="Arial" w:hAnsi="Arial" w:cs="Arial"/>
          <w:noProof/>
          <w:position w:val="-9"/>
          <w:sz w:val="20"/>
          <w:szCs w:val="20"/>
          <w:lang w:eastAsia="ru-RU"/>
        </w:rPr>
        <w:drawing>
          <wp:inline distT="0" distB="0" distL="0" distR="0">
            <wp:extent cx="704850" cy="247650"/>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rPr>
          <w:rFonts w:ascii="Arial" w:hAnsi="Arial" w:cs="Arial"/>
          <w:sz w:val="20"/>
          <w:szCs w:val="20"/>
        </w:rPr>
        <w:t xml:space="preserve">, в субъектах Российской Федерации, входящих в состав Дальневосточного федерального округа, в отношении </w:t>
      </w:r>
      <w:r>
        <w:rPr>
          <w:rFonts w:ascii="Arial" w:hAnsi="Arial" w:cs="Arial"/>
          <w:sz w:val="20"/>
          <w:szCs w:val="20"/>
        </w:rPr>
        <w:lastRenderedPageBreak/>
        <w:t>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001"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1771650" cy="247650"/>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1771650" cy="24765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003"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где </w:t>
      </w:r>
      <w:r>
        <w:rPr>
          <w:rFonts w:ascii="Arial" w:hAnsi="Arial" w:cs="Arial"/>
          <w:noProof/>
          <w:position w:val="-9"/>
          <w:sz w:val="20"/>
          <w:szCs w:val="20"/>
          <w:lang w:eastAsia="ru-RU"/>
        </w:rPr>
        <w:drawing>
          <wp:inline distT="0" distB="0" distL="0" distR="0">
            <wp:extent cx="438150" cy="247650"/>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Pr>
          <w:rFonts w:ascii="Arial" w:hAnsi="Arial" w:cs="Arial"/>
          <w:sz w:val="20"/>
          <w:szCs w:val="20"/>
        </w:rP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мощности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пятой ценовой категории и i-й группы (категории) потребителей (покупателей) в период применения в соответствии с Федеральным </w:t>
      </w:r>
      <w:hyperlink r:id="rId1005" w:history="1">
        <w:r>
          <w:rPr>
            <w:rFonts w:ascii="Arial" w:hAnsi="Arial" w:cs="Arial"/>
            <w:color w:val="0000FF"/>
            <w:sz w:val="20"/>
            <w:szCs w:val="20"/>
          </w:rPr>
          <w:t>законом</w:t>
        </w:r>
      </w:hyperlink>
      <w:r>
        <w:rPr>
          <w:rFonts w:ascii="Arial" w:hAnsi="Arial" w:cs="Arial"/>
          <w:sz w:val="20"/>
          <w:szCs w:val="20"/>
        </w:rP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1006"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28.07.2017 N 895)</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Составляющая </w:t>
      </w:r>
      <w:r>
        <w:rPr>
          <w:rFonts w:ascii="Arial" w:hAnsi="Arial" w:cs="Arial"/>
          <w:noProof/>
          <w:position w:val="-9"/>
          <w:sz w:val="20"/>
          <w:szCs w:val="20"/>
          <w:lang w:eastAsia="ru-RU"/>
        </w:rPr>
        <w:drawing>
          <wp:inline distT="0" distB="0" distL="0" distR="0">
            <wp:extent cx="438150" cy="24765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Pr>
          <w:rFonts w:ascii="Arial" w:hAnsi="Arial" w:cs="Arial"/>
          <w:sz w:val="20"/>
          <w:szCs w:val="20"/>
        </w:rPr>
        <w:t xml:space="preserve"> указывается в числовом выражении.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1008"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28.07.2017 N 895)</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247. Конечная регулируемая цена для шестой ценовой категории состоит из ставок за электрическую энергию и ставок за мощность, определяемых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Ставка за электрическую энергию конечной регулируемой цены для шестой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Pr>
          <w:rFonts w:ascii="Arial" w:hAnsi="Arial" w:cs="Arial"/>
          <w:noProof/>
          <w:position w:val="-10"/>
          <w:sz w:val="20"/>
          <w:szCs w:val="20"/>
          <w:lang w:eastAsia="ru-RU"/>
        </w:rPr>
        <w:drawing>
          <wp:inline distT="0" distB="0" distL="0" distR="0">
            <wp:extent cx="590550" cy="257175"/>
            <wp:effectExtent l="0" t="0" r="0" b="9525"/>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rPr>
          <w:rFonts w:ascii="Arial" w:hAnsi="Arial" w:cs="Arial"/>
          <w:sz w:val="20"/>
          <w:szCs w:val="20"/>
        </w:rPr>
        <w:t>), определяется по формуле (рублей/МВт·ч):</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3771900" cy="24765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3771900" cy="24765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011"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847725" cy="257175"/>
            <wp:effectExtent l="0" t="0" r="9525" b="9525"/>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Pr>
          <w:rFonts w:ascii="Arial" w:hAnsi="Arial" w:cs="Arial"/>
          <w:sz w:val="20"/>
          <w:szCs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на оптовом рынке в отношении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официальном сайте в сети "Интернет"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514350" cy="247650"/>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Pr>
          <w:rFonts w:ascii="Arial" w:hAnsi="Arial" w:cs="Arial"/>
          <w:sz w:val="20"/>
          <w:szCs w:val="20"/>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ar2113" w:history="1">
        <w:r>
          <w:rPr>
            <w:rFonts w:ascii="Arial" w:hAnsi="Arial" w:cs="Arial"/>
            <w:color w:val="0000FF"/>
            <w:sz w:val="20"/>
            <w:szCs w:val="20"/>
          </w:rPr>
          <w:t>пунктом 238</w:t>
        </w:r>
      </w:hyperlink>
      <w:r>
        <w:rPr>
          <w:rFonts w:ascii="Arial" w:hAnsi="Arial" w:cs="Arial"/>
          <w:sz w:val="20"/>
          <w:szCs w:val="20"/>
        </w:rPr>
        <w:t xml:space="preserve"> настоящего документа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428625" cy="257175"/>
            <wp:effectExtent l="0" t="0" r="9525" b="9525"/>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Pr>
          <w:rFonts w:ascii="Arial" w:hAnsi="Arial" w:cs="Arial"/>
          <w:sz w:val="20"/>
          <w:szCs w:val="20"/>
        </w:rPr>
        <w:t xml:space="preserve"> - дифференцированная по уровням напряжения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304800" cy="24765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Pr>
          <w:rFonts w:ascii="Arial" w:hAnsi="Arial" w:cs="Arial"/>
          <w:sz w:val="20"/>
          <w:szCs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w:t>
      </w:r>
      <w:r>
        <w:rPr>
          <w:rFonts w:ascii="Arial" w:hAnsi="Arial" w:cs="Arial"/>
          <w:sz w:val="20"/>
          <w:szCs w:val="20"/>
        </w:rPr>
        <w:lastRenderedPageBreak/>
        <w:t xml:space="preserve">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ar2432" w:history="1">
        <w:r>
          <w:rPr>
            <w:rFonts w:ascii="Arial" w:hAnsi="Arial" w:cs="Arial"/>
            <w:color w:val="0000FF"/>
            <w:sz w:val="20"/>
            <w:szCs w:val="20"/>
          </w:rPr>
          <w:t>пунктом 248</w:t>
        </w:r>
      </w:hyperlink>
      <w:r>
        <w:rPr>
          <w:rFonts w:ascii="Arial" w:hAnsi="Arial" w:cs="Arial"/>
          <w:sz w:val="20"/>
          <w:szCs w:val="20"/>
        </w:rPr>
        <w:t xml:space="preserve"> настоящего документа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409575" cy="257175"/>
            <wp:effectExtent l="0" t="0" r="9525" b="9525"/>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Pr>
          <w:rFonts w:ascii="Arial" w:hAnsi="Arial" w:cs="Arial"/>
          <w:sz w:val="20"/>
          <w:szCs w:val="20"/>
        </w:rPr>
        <w:t xml:space="preserve"> - сбытовая надбавка гарантирующего поставщика, учитываемая в стоимости электрической энергии в ставке </w:t>
      </w:r>
      <w:r>
        <w:rPr>
          <w:rFonts w:ascii="Arial" w:hAnsi="Arial" w:cs="Arial"/>
          <w:noProof/>
          <w:position w:val="-10"/>
          <w:sz w:val="20"/>
          <w:szCs w:val="20"/>
          <w:lang w:eastAsia="ru-RU"/>
        </w:rPr>
        <w:drawing>
          <wp:inline distT="0" distB="0" distL="0" distR="0">
            <wp:extent cx="609600" cy="257175"/>
            <wp:effectExtent l="0" t="0" r="0" b="9525"/>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Pr>
          <w:rFonts w:ascii="Arial" w:hAnsi="Arial" w:cs="Arial"/>
          <w:sz w:val="20"/>
          <w:szCs w:val="20"/>
        </w:rPr>
        <w:t xml:space="preserve"> и установленная в отношении расчетного периода (m) и n-й группы (подгруппы) потребителей в соответствии с </w:t>
      </w:r>
      <w:hyperlink r:id="rId1018" w:history="1">
        <w:r>
          <w:rPr>
            <w:rFonts w:ascii="Arial" w:hAnsi="Arial" w:cs="Arial"/>
            <w:color w:val="0000FF"/>
            <w:sz w:val="20"/>
            <w:szCs w:val="20"/>
          </w:rPr>
          <w:t>Основами</w:t>
        </w:r>
      </w:hyperlink>
      <w:r>
        <w:rPr>
          <w:rFonts w:ascii="Arial" w:hAnsi="Arial" w:cs="Arial"/>
          <w:sz w:val="20"/>
          <w:szCs w:val="20"/>
        </w:rP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019"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Ставка за электрическую энергию конечной регулируемой цены для шестой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Pr>
          <w:rFonts w:ascii="Arial" w:hAnsi="Arial" w:cs="Arial"/>
          <w:noProof/>
          <w:position w:val="-9"/>
          <w:sz w:val="20"/>
          <w:szCs w:val="20"/>
          <w:lang w:eastAsia="ru-RU"/>
        </w:rPr>
        <w:drawing>
          <wp:inline distT="0" distB="0" distL="0" distR="0">
            <wp:extent cx="590550" cy="247650"/>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rPr>
          <w:rFonts w:ascii="Arial" w:hAnsi="Arial" w:cs="Arial"/>
          <w:sz w:val="20"/>
          <w:szCs w:val="20"/>
        </w:rP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1020"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28.07.2017 N 895)</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4286250" cy="247650"/>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4286250" cy="24765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022"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где </w:t>
      </w:r>
      <w:r>
        <w:rPr>
          <w:rFonts w:ascii="Arial" w:hAnsi="Arial" w:cs="Arial"/>
          <w:noProof/>
          <w:position w:val="-9"/>
          <w:sz w:val="20"/>
          <w:szCs w:val="20"/>
          <w:lang w:eastAsia="ru-RU"/>
        </w:rPr>
        <w:drawing>
          <wp:inline distT="0" distB="0" distL="0" distR="0">
            <wp:extent cx="419100" cy="24765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Pr>
          <w:rFonts w:ascii="Arial" w:hAnsi="Arial" w:cs="Arial"/>
          <w:sz w:val="20"/>
          <w:szCs w:val="20"/>
        </w:rP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электрической энергии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шестой ценовой категории и i-й группы (категории) потребителей (покупателей) в период применения в соответствии с Федеральным </w:t>
      </w:r>
      <w:hyperlink r:id="rId1024" w:history="1">
        <w:r>
          <w:rPr>
            <w:rFonts w:ascii="Arial" w:hAnsi="Arial" w:cs="Arial"/>
            <w:color w:val="0000FF"/>
            <w:sz w:val="20"/>
            <w:szCs w:val="20"/>
          </w:rPr>
          <w:t>законом</w:t>
        </w:r>
      </w:hyperlink>
      <w:r>
        <w:rPr>
          <w:rFonts w:ascii="Arial" w:hAnsi="Arial" w:cs="Arial"/>
          <w:sz w:val="20"/>
          <w:szCs w:val="20"/>
        </w:rP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(рублей/МВт·ч).</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1025"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28.07.2017 N 895)</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этом составляющие </w:t>
      </w:r>
      <w:r>
        <w:rPr>
          <w:rFonts w:ascii="Arial" w:hAnsi="Arial" w:cs="Arial"/>
          <w:noProof/>
          <w:position w:val="-9"/>
          <w:sz w:val="20"/>
          <w:szCs w:val="20"/>
          <w:lang w:eastAsia="ru-RU"/>
        </w:rPr>
        <w:drawing>
          <wp:inline distT="0" distB="0" distL="0" distR="0">
            <wp:extent cx="438150" cy="247650"/>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9"/>
          <w:sz w:val="20"/>
          <w:szCs w:val="20"/>
          <w:lang w:eastAsia="ru-RU"/>
        </w:rPr>
        <w:drawing>
          <wp:inline distT="0" distB="0" distL="0" distR="0">
            <wp:extent cx="419100" cy="247650"/>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Pr>
          <w:rFonts w:ascii="Arial" w:hAnsi="Arial" w:cs="Arial"/>
          <w:sz w:val="20"/>
          <w:szCs w:val="20"/>
        </w:rPr>
        <w:t xml:space="preserve"> указываются в числовом выражении, а составляющие </w:t>
      </w:r>
      <w:r>
        <w:rPr>
          <w:rFonts w:ascii="Arial" w:hAnsi="Arial" w:cs="Arial"/>
          <w:noProof/>
          <w:position w:val="-9"/>
          <w:sz w:val="20"/>
          <w:szCs w:val="20"/>
          <w:lang w:eastAsia="ru-RU"/>
        </w:rPr>
        <w:drawing>
          <wp:inline distT="0" distB="0" distL="0" distR="0">
            <wp:extent cx="838200" cy="24765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838200" cy="24765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9"/>
          <w:sz w:val="20"/>
          <w:szCs w:val="20"/>
          <w:lang w:eastAsia="ru-RU"/>
        </w:rPr>
        <w:drawing>
          <wp:inline distT="0" distB="0" distL="0" distR="0">
            <wp:extent cx="514350" cy="247650"/>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9"/>
          <w:sz w:val="20"/>
          <w:szCs w:val="20"/>
          <w:lang w:eastAsia="ru-RU"/>
        </w:rPr>
        <w:drawing>
          <wp:inline distT="0" distB="0" distL="0" distR="0">
            <wp:extent cx="304800" cy="247650"/>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Pr>
          <w:rFonts w:ascii="Arial" w:hAnsi="Arial" w:cs="Arial"/>
          <w:sz w:val="20"/>
          <w:szCs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rFonts w:ascii="Arial" w:hAnsi="Arial" w:cs="Arial"/>
          <w:noProof/>
          <w:position w:val="-10"/>
          <w:sz w:val="20"/>
          <w:szCs w:val="20"/>
          <w:lang w:eastAsia="ru-RU"/>
        </w:rPr>
        <w:drawing>
          <wp:inline distT="0" distB="0" distL="0" distR="0">
            <wp:extent cx="409575" cy="257175"/>
            <wp:effectExtent l="0" t="0" r="9525" b="9525"/>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Pr>
          <w:rFonts w:ascii="Arial" w:hAnsi="Arial" w:cs="Arial"/>
          <w:sz w:val="20"/>
          <w:szCs w:val="20"/>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Постановлений Правительства РФ от 28.07.2017 </w:t>
      </w:r>
      <w:hyperlink r:id="rId1032" w:history="1">
        <w:r>
          <w:rPr>
            <w:rFonts w:ascii="Arial" w:hAnsi="Arial" w:cs="Arial"/>
            <w:color w:val="0000FF"/>
            <w:sz w:val="20"/>
            <w:szCs w:val="20"/>
          </w:rPr>
          <w:t>N 895</w:t>
        </w:r>
      </w:hyperlink>
      <w:r>
        <w:rPr>
          <w:rFonts w:ascii="Arial" w:hAnsi="Arial" w:cs="Arial"/>
          <w:sz w:val="20"/>
          <w:szCs w:val="20"/>
        </w:rPr>
        <w:t xml:space="preserve">, от 29.06.2018 </w:t>
      </w:r>
      <w:hyperlink r:id="rId1033" w:history="1">
        <w:r>
          <w:rPr>
            <w:rFonts w:ascii="Arial" w:hAnsi="Arial" w:cs="Arial"/>
            <w:color w:val="0000FF"/>
            <w:sz w:val="20"/>
            <w:szCs w:val="20"/>
          </w:rPr>
          <w:t>N 749</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Ставка за электрическую энергию конечной регулируемой цены для шестой ценовой категории, применяемая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отношении часа (h) расчетного периода (m) </w:t>
      </w:r>
      <w:r>
        <w:rPr>
          <w:rFonts w:ascii="Arial" w:hAnsi="Arial" w:cs="Arial"/>
          <w:noProof/>
          <w:position w:val="-9"/>
          <w:sz w:val="20"/>
          <w:szCs w:val="20"/>
          <w:lang w:eastAsia="ru-RU"/>
        </w:rPr>
        <w:drawing>
          <wp:inline distT="0" distB="0" distL="0" distR="0">
            <wp:extent cx="723900" cy="24765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r>
        <w:rPr>
          <w:rFonts w:ascii="Arial" w:hAnsi="Arial" w:cs="Arial"/>
          <w:sz w:val="20"/>
          <w:szCs w:val="20"/>
        </w:rPr>
        <w:t>, определяется по формуле (рублей/МВт·ч):</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035"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lastRenderedPageBreak/>
        <w:drawing>
          <wp:inline distT="0" distB="0" distL="0" distR="0">
            <wp:extent cx="1276350" cy="24765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1276350" cy="24765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037"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514350" cy="257175"/>
            <wp:effectExtent l="0" t="0" r="0" b="9525"/>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r>
        <w:rPr>
          <w:rFonts w:ascii="Arial" w:hAnsi="Arial" w:cs="Arial"/>
          <w:sz w:val="20"/>
          <w:szCs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фактического потребления над плановым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Ставка за электрическую энергию конечной регулируемой цены для шестой ценовой категории, применяемая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отношении часа (h) расчетного периода (m) </w:t>
      </w:r>
      <w:r>
        <w:rPr>
          <w:rFonts w:ascii="Arial" w:hAnsi="Arial" w:cs="Arial"/>
          <w:noProof/>
          <w:position w:val="-9"/>
          <w:sz w:val="20"/>
          <w:szCs w:val="20"/>
          <w:lang w:eastAsia="ru-RU"/>
        </w:rPr>
        <w:drawing>
          <wp:inline distT="0" distB="0" distL="0" distR="0">
            <wp:extent cx="704850" cy="24765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rPr>
          <w:rFonts w:ascii="Arial" w:hAnsi="Arial" w:cs="Arial"/>
          <w:sz w:val="20"/>
          <w:szCs w:val="20"/>
        </w:rPr>
        <w:t>, определяется по формуле (рублей/МВт·ч):</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040"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1257300" cy="247650"/>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1257300" cy="24765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042"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495300" cy="257175"/>
            <wp:effectExtent l="0" t="0" r="0" b="9525"/>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Pr>
          <w:rFonts w:ascii="Arial" w:hAnsi="Arial" w:cs="Arial"/>
          <w:sz w:val="20"/>
          <w:szCs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планового потребления над фактическим потреблением в час (h) расчетного периода (m) коммерческим оператором оптового рынка и опубликованная им на официальном своем официальном сайте в сети "Интернет"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Ставка за электрическую энергию конечной регулируемой цены для шестой ценовой категории, применяемая к сумме абсолютных значений разностей фактических и плановых почасовых объемов покупки электрической энергии потребителя (покупателя) в отношении расчетного периода (m) </w:t>
      </w:r>
      <w:r>
        <w:rPr>
          <w:rFonts w:ascii="Arial" w:hAnsi="Arial" w:cs="Arial"/>
          <w:noProof/>
          <w:position w:val="-9"/>
          <w:sz w:val="20"/>
          <w:szCs w:val="20"/>
          <w:lang w:eastAsia="ru-RU"/>
        </w:rPr>
        <w:drawing>
          <wp:inline distT="0" distB="0" distL="0" distR="0">
            <wp:extent cx="723900" cy="247650"/>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r>
        <w:rPr>
          <w:rFonts w:ascii="Arial" w:hAnsi="Arial" w:cs="Arial"/>
          <w:sz w:val="20"/>
          <w:szCs w:val="20"/>
        </w:rPr>
        <w:t>, определяется по формуле (рублей/МВт·ч):</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045"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12"/>
          <w:sz w:val="20"/>
          <w:szCs w:val="20"/>
          <w:lang w:eastAsia="ru-RU"/>
        </w:rPr>
        <w:drawing>
          <wp:inline distT="0" distB="0" distL="0" distR="0">
            <wp:extent cx="1581150" cy="285750"/>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1581150" cy="28575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047"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714375" cy="247650"/>
            <wp:effectExtent l="0" t="0" r="9525"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r>
        <w:rPr>
          <w:rFonts w:ascii="Arial" w:hAnsi="Arial" w:cs="Arial"/>
          <w:sz w:val="20"/>
          <w:szCs w:val="20"/>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определенная для расчетного периода (m) коммерческим оператором оптового рынка и опубликованная им на своем официальном сайте в сети "Интернет"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если </w:t>
      </w:r>
      <w:r>
        <w:rPr>
          <w:rFonts w:ascii="Arial" w:hAnsi="Arial" w:cs="Arial"/>
          <w:noProof/>
          <w:position w:val="-8"/>
          <w:sz w:val="20"/>
          <w:szCs w:val="20"/>
          <w:lang w:eastAsia="ru-RU"/>
        </w:rPr>
        <w:drawing>
          <wp:inline distT="0" distB="0" distL="0" distR="0">
            <wp:extent cx="1028700" cy="238125"/>
            <wp:effectExtent l="0" t="0" r="0" b="9525"/>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1028700" cy="23812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8"/>
          <w:sz w:val="20"/>
          <w:szCs w:val="20"/>
          <w:lang w:eastAsia="ru-RU"/>
        </w:rPr>
        <w:drawing>
          <wp:inline distT="0" distB="0" distL="0" distR="0">
            <wp:extent cx="609600" cy="238125"/>
            <wp:effectExtent l="0" t="0" r="0" b="9525"/>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Pr>
          <w:rFonts w:ascii="Arial" w:hAnsi="Arial" w:cs="Arial"/>
          <w:sz w:val="20"/>
          <w:szCs w:val="20"/>
        </w:rPr>
        <w:t xml:space="preserve"> применяется в сторону увеличения суммарной стоимости электрической энергии (мощности), приобретенной потребителем (покупателем) за расчетный период (m). В случае если </w:t>
      </w:r>
      <w:r>
        <w:rPr>
          <w:rFonts w:ascii="Arial" w:hAnsi="Arial" w:cs="Arial"/>
          <w:noProof/>
          <w:position w:val="-8"/>
          <w:sz w:val="20"/>
          <w:szCs w:val="20"/>
          <w:lang w:eastAsia="ru-RU"/>
        </w:rPr>
        <w:drawing>
          <wp:inline distT="0" distB="0" distL="0" distR="0">
            <wp:extent cx="952500" cy="238125"/>
            <wp:effectExtent l="0" t="0" r="0" b="9525"/>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952500" cy="23812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8"/>
          <w:sz w:val="20"/>
          <w:szCs w:val="20"/>
          <w:lang w:eastAsia="ru-RU"/>
        </w:rPr>
        <w:drawing>
          <wp:inline distT="0" distB="0" distL="0" distR="0">
            <wp:extent cx="609600" cy="238125"/>
            <wp:effectExtent l="0" t="0" r="0" b="9525"/>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Pr>
          <w:rFonts w:ascii="Arial" w:hAnsi="Arial" w:cs="Arial"/>
          <w:sz w:val="20"/>
          <w:szCs w:val="20"/>
        </w:rPr>
        <w:t xml:space="preserve"> применяется в сторону уменьшения суммарной стоимости электрической энергии (мощности), приобретенной потребителем (покупателем) за расчетный период (m).</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050"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Ставка за мощность конечной регулируемой цены для шестой ценовой категории, применяемая к поставляемому потребителю (покупателю) объему мощности за расчетный период (m) </w:t>
      </w:r>
      <w:r>
        <w:rPr>
          <w:rFonts w:ascii="Arial" w:hAnsi="Arial" w:cs="Arial"/>
          <w:noProof/>
          <w:position w:val="-9"/>
          <w:sz w:val="20"/>
          <w:szCs w:val="20"/>
          <w:lang w:eastAsia="ru-RU"/>
        </w:rPr>
        <w:drawing>
          <wp:inline distT="0" distB="0" distL="0" distR="0">
            <wp:extent cx="704850" cy="247650"/>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rPr>
          <w:rFonts w:ascii="Arial" w:hAnsi="Arial" w:cs="Arial"/>
          <w:sz w:val="20"/>
          <w:szCs w:val="20"/>
        </w:rPr>
        <w:t>, определяется по формуле (рублей/МВт):</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052"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1238250" cy="24765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1238250" cy="24765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054"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485775" cy="247650"/>
            <wp:effectExtent l="0" t="0" r="9525"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485775" cy="247650"/>
                    </a:xfrm>
                    <a:prstGeom prst="rect">
                      <a:avLst/>
                    </a:prstGeom>
                    <a:noFill/>
                    <a:ln>
                      <a:noFill/>
                    </a:ln>
                  </pic:spPr>
                </pic:pic>
              </a:graphicData>
            </a:graphic>
          </wp:inline>
        </w:drawing>
      </w:r>
      <w:r>
        <w:rPr>
          <w:rFonts w:ascii="Arial" w:hAnsi="Arial" w:cs="Arial"/>
          <w:sz w:val="20"/>
          <w:szCs w:val="20"/>
        </w:rP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абзац утратил силу. - </w:t>
      </w:r>
      <w:hyperlink r:id="rId1056" w:history="1">
        <w:r>
          <w:rPr>
            <w:rFonts w:ascii="Arial" w:hAnsi="Arial" w:cs="Arial"/>
            <w:color w:val="0000FF"/>
            <w:sz w:val="20"/>
            <w:szCs w:val="20"/>
          </w:rPr>
          <w:t>Постановление</w:t>
        </w:r>
      </w:hyperlink>
      <w:r>
        <w:rPr>
          <w:rFonts w:ascii="Arial" w:hAnsi="Arial" w:cs="Arial"/>
          <w:sz w:val="20"/>
          <w:szCs w:val="20"/>
        </w:rPr>
        <w:t xml:space="preserve"> Правительства РФ от 21.07.2017 N 863.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этом составляющие </w:t>
      </w:r>
      <w:r>
        <w:rPr>
          <w:rFonts w:ascii="Arial" w:hAnsi="Arial" w:cs="Arial"/>
          <w:noProof/>
          <w:position w:val="-10"/>
          <w:sz w:val="20"/>
          <w:szCs w:val="20"/>
          <w:lang w:eastAsia="ru-RU"/>
        </w:rPr>
        <w:drawing>
          <wp:inline distT="0" distB="0" distL="0" distR="0">
            <wp:extent cx="514350" cy="257175"/>
            <wp:effectExtent l="0" t="0" r="0" b="9525"/>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10"/>
          <w:sz w:val="20"/>
          <w:szCs w:val="20"/>
          <w:lang w:eastAsia="ru-RU"/>
        </w:rPr>
        <w:drawing>
          <wp:inline distT="0" distB="0" distL="0" distR="0">
            <wp:extent cx="495300" cy="257175"/>
            <wp:effectExtent l="0" t="0" r="0" b="9525"/>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9"/>
          <w:sz w:val="20"/>
          <w:szCs w:val="20"/>
          <w:lang w:eastAsia="ru-RU"/>
        </w:rPr>
        <w:drawing>
          <wp:inline distT="0" distB="0" distL="0" distR="0">
            <wp:extent cx="714375" cy="247650"/>
            <wp:effectExtent l="0" t="0" r="9525"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9"/>
          <w:sz w:val="20"/>
          <w:szCs w:val="20"/>
          <w:lang w:eastAsia="ru-RU"/>
        </w:rPr>
        <w:drawing>
          <wp:inline distT="0" distB="0" distL="0" distR="0">
            <wp:extent cx="485775" cy="247650"/>
            <wp:effectExtent l="0" t="0" r="9525"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485775" cy="247650"/>
                    </a:xfrm>
                    <a:prstGeom prst="rect">
                      <a:avLst/>
                    </a:prstGeom>
                    <a:noFill/>
                    <a:ln>
                      <a:noFill/>
                    </a:ln>
                  </pic:spPr>
                </pic:pic>
              </a:graphicData>
            </a:graphic>
          </wp:inline>
        </w:drawing>
      </w:r>
      <w:r>
        <w:rPr>
          <w:rFonts w:ascii="Arial" w:hAnsi="Arial" w:cs="Arial"/>
          <w:sz w:val="20"/>
          <w:szCs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Постановлений Правительства РФ от 21.07.2017 </w:t>
      </w:r>
      <w:hyperlink r:id="rId1057" w:history="1">
        <w:r>
          <w:rPr>
            <w:rFonts w:ascii="Arial" w:hAnsi="Arial" w:cs="Arial"/>
            <w:color w:val="0000FF"/>
            <w:sz w:val="20"/>
            <w:szCs w:val="20"/>
          </w:rPr>
          <w:t>N 863</w:t>
        </w:r>
      </w:hyperlink>
      <w:r>
        <w:rPr>
          <w:rFonts w:ascii="Arial" w:hAnsi="Arial" w:cs="Arial"/>
          <w:sz w:val="20"/>
          <w:szCs w:val="20"/>
        </w:rPr>
        <w:t xml:space="preserve">, от 29.06.2018 </w:t>
      </w:r>
      <w:hyperlink r:id="rId1058" w:history="1">
        <w:r>
          <w:rPr>
            <w:rFonts w:ascii="Arial" w:hAnsi="Arial" w:cs="Arial"/>
            <w:color w:val="0000FF"/>
            <w:sz w:val="20"/>
            <w:szCs w:val="20"/>
          </w:rPr>
          <w:t>N 749</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Ставка за мощность конечной регулируемой цены для шестой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059" w:history="1">
        <w:r>
          <w:rPr>
            <w:rFonts w:ascii="Arial" w:hAnsi="Arial" w:cs="Arial"/>
            <w:color w:val="0000FF"/>
            <w:sz w:val="20"/>
            <w:szCs w:val="20"/>
          </w:rPr>
          <w:t>Правилами</w:t>
        </w:r>
      </w:hyperlink>
      <w:r>
        <w:rPr>
          <w:rFonts w:ascii="Arial" w:hAnsi="Arial" w:cs="Arial"/>
          <w:sz w:val="20"/>
          <w:szCs w:val="20"/>
        </w:rP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Pr>
          <w:rFonts w:ascii="Arial" w:hAnsi="Arial" w:cs="Arial"/>
          <w:noProof/>
          <w:position w:val="-9"/>
          <w:sz w:val="20"/>
          <w:szCs w:val="20"/>
          <w:lang w:eastAsia="ru-RU"/>
        </w:rPr>
        <w:drawing>
          <wp:inline distT="0" distB="0" distL="0" distR="0">
            <wp:extent cx="666750" cy="247650"/>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rPr>
          <w:rFonts w:ascii="Arial" w:hAnsi="Arial" w:cs="Arial"/>
          <w:sz w:val="20"/>
          <w:szCs w:val="20"/>
        </w:rPr>
        <w:t>, определяется по формуле (рублей/МВт):</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061"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1162050" cy="247650"/>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1162050" cy="24765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063"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419100" cy="257175"/>
            <wp:effectExtent l="0" t="0" r="0" b="9525"/>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rFonts w:ascii="Arial" w:hAnsi="Arial" w:cs="Arial"/>
          <w:sz w:val="20"/>
          <w:szCs w:val="20"/>
        </w:rP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этом составляющая </w:t>
      </w:r>
      <w:r>
        <w:rPr>
          <w:rFonts w:ascii="Arial" w:hAnsi="Arial" w:cs="Arial"/>
          <w:noProof/>
          <w:position w:val="-10"/>
          <w:sz w:val="20"/>
          <w:szCs w:val="20"/>
          <w:lang w:eastAsia="ru-RU"/>
        </w:rPr>
        <w:drawing>
          <wp:inline distT="0" distB="0" distL="0" distR="0">
            <wp:extent cx="419100" cy="257175"/>
            <wp:effectExtent l="0" t="0" r="0" b="9525"/>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rFonts w:ascii="Arial" w:hAnsi="Arial" w:cs="Arial"/>
          <w:sz w:val="20"/>
          <w:szCs w:val="20"/>
        </w:rPr>
        <w:t xml:space="preserve"> указывается в числовом выражении.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Ставка за мощность конечной регулируемой цены для шестой ценовой категории, применяемая к поставляемому потребителю (покупателю) объему мощности за расчетный период (m) </w:t>
      </w:r>
      <w:r>
        <w:rPr>
          <w:rFonts w:ascii="Arial" w:hAnsi="Arial" w:cs="Arial"/>
          <w:noProof/>
          <w:position w:val="-9"/>
          <w:sz w:val="20"/>
          <w:szCs w:val="20"/>
          <w:lang w:eastAsia="ru-RU"/>
        </w:rPr>
        <w:drawing>
          <wp:inline distT="0" distB="0" distL="0" distR="0">
            <wp:extent cx="704850" cy="247650"/>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rPr>
          <w:rFonts w:ascii="Arial" w:hAnsi="Arial" w:cs="Arial"/>
          <w:sz w:val="20"/>
          <w:szCs w:val="20"/>
        </w:rP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066"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1771650" cy="247650"/>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1771650" cy="24765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068"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29.06.2018 N 749)</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lastRenderedPageBreak/>
        <w:t xml:space="preserve">где </w:t>
      </w:r>
      <w:r>
        <w:rPr>
          <w:rFonts w:ascii="Arial" w:hAnsi="Arial" w:cs="Arial"/>
          <w:noProof/>
          <w:position w:val="-9"/>
          <w:sz w:val="20"/>
          <w:szCs w:val="20"/>
          <w:lang w:eastAsia="ru-RU"/>
        </w:rPr>
        <w:drawing>
          <wp:inline distT="0" distB="0" distL="0" distR="0">
            <wp:extent cx="438150" cy="24765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Pr>
          <w:rFonts w:ascii="Arial" w:hAnsi="Arial" w:cs="Arial"/>
          <w:sz w:val="20"/>
          <w:szCs w:val="20"/>
        </w:rP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мощности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шестой ценовой категории и i-й группы (категории) потребителей (покупателей) в период применения в соответствии с Федеральным </w:t>
      </w:r>
      <w:hyperlink r:id="rId1070" w:history="1">
        <w:r>
          <w:rPr>
            <w:rFonts w:ascii="Arial" w:hAnsi="Arial" w:cs="Arial"/>
            <w:color w:val="0000FF"/>
            <w:sz w:val="20"/>
            <w:szCs w:val="20"/>
          </w:rPr>
          <w:t>законом</w:t>
        </w:r>
      </w:hyperlink>
      <w:r>
        <w:rPr>
          <w:rFonts w:ascii="Arial" w:hAnsi="Arial" w:cs="Arial"/>
          <w:sz w:val="20"/>
          <w:szCs w:val="20"/>
        </w:rP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1071"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28.07.2017 N 895)</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Составляющая </w:t>
      </w:r>
      <w:r>
        <w:rPr>
          <w:rFonts w:ascii="Arial" w:hAnsi="Arial" w:cs="Arial"/>
          <w:noProof/>
          <w:position w:val="-9"/>
          <w:sz w:val="20"/>
          <w:szCs w:val="20"/>
          <w:lang w:eastAsia="ru-RU"/>
        </w:rPr>
        <w:drawing>
          <wp:inline distT="0" distB="0" distL="0" distR="0">
            <wp:extent cx="438150" cy="24765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Pr>
          <w:rFonts w:ascii="Arial" w:hAnsi="Arial" w:cs="Arial"/>
          <w:sz w:val="20"/>
          <w:szCs w:val="20"/>
        </w:rPr>
        <w:t xml:space="preserve"> указывается в числовом выражении.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1072"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28.07.2017 N 895)</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47" w:name="Par2432"/>
      <w:bookmarkEnd w:id="247"/>
      <w:r>
        <w:rPr>
          <w:rFonts w:ascii="Arial" w:hAnsi="Arial" w:cs="Arial"/>
          <w:sz w:val="20"/>
          <w:szCs w:val="20"/>
        </w:rPr>
        <w:t xml:space="preserve">248. Плата за иные услуги, оказание которых является неотъемлемой частью процесса поставки электрической энергии потребителям </w:t>
      </w:r>
      <w:r>
        <w:rPr>
          <w:rFonts w:ascii="Arial" w:hAnsi="Arial" w:cs="Arial"/>
          <w:noProof/>
          <w:position w:val="-9"/>
          <w:sz w:val="20"/>
          <w:szCs w:val="20"/>
          <w:lang w:eastAsia="ru-RU"/>
        </w:rPr>
        <w:drawing>
          <wp:inline distT="0" distB="0" distL="0" distR="0">
            <wp:extent cx="419100" cy="24765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Pr>
          <w:rFonts w:ascii="Arial" w:hAnsi="Arial" w:cs="Arial"/>
          <w:sz w:val="20"/>
          <w:szCs w:val="20"/>
        </w:rPr>
        <w:t>,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26"/>
          <w:sz w:val="20"/>
          <w:szCs w:val="20"/>
          <w:lang w:eastAsia="ru-RU"/>
        </w:rPr>
        <w:drawing>
          <wp:inline distT="0" distB="0" distL="0" distR="0">
            <wp:extent cx="1638300" cy="457200"/>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1638300" cy="45720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295275" cy="238125"/>
            <wp:effectExtent l="0" t="0" r="9525" b="9525"/>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Pr>
          <w:rFonts w:ascii="Arial" w:hAnsi="Arial" w:cs="Arial"/>
          <w:sz w:val="20"/>
          <w:szCs w:val="20"/>
        </w:rPr>
        <w:t xml:space="preserve"> - стоимость услуги по оперативно-диспетчерскому управлению в электроэнергетике, подлежащая оплате гарантирующим поставщиком (энергосбытовой, энергоснабжающей организацией) за расчетный период (m-1) (рублей);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295275" cy="238125"/>
            <wp:effectExtent l="0" t="0" r="9525" b="9525"/>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Pr>
          <w:rFonts w:ascii="Arial" w:hAnsi="Arial" w:cs="Arial"/>
          <w:sz w:val="20"/>
          <w:szCs w:val="20"/>
        </w:rPr>
        <w:t xml:space="preserve"> -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(энергосбытовой, энергоснабжающей организации) коммерческим оператором оптового рынка, подлежащая оплате гарантирующим поставщиком (энергосбытовой, энергоснабжающей организацией) за расчетный период (m-1) (рублей);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342900" cy="238125"/>
            <wp:effectExtent l="0" t="0" r="0" b="9525"/>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Pr>
          <w:rFonts w:ascii="Arial" w:hAnsi="Arial" w:cs="Arial"/>
          <w:sz w:val="20"/>
          <w:szCs w:val="20"/>
        </w:rPr>
        <w:t xml:space="preserve"> - стоимость комплексной услуги по расчету требований и обязательств участников оптового рынка, оказываемой гарантирующему поставщику (энергосбытовой, энергоснабжающей организации) организацией коммерческой инфраструктуры оптового рынка, подлежащая оплате гарантирующим поставщиком (энергосбытовой, энергоснабжающей организацией) за расчетный период (m-1) (рублей);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304800" cy="238125"/>
            <wp:effectExtent l="0" t="0" r="0" b="9525"/>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Pr>
          <w:rFonts w:ascii="Arial" w:hAnsi="Arial" w:cs="Arial"/>
          <w:sz w:val="20"/>
          <w:szCs w:val="20"/>
        </w:rPr>
        <w:t xml:space="preserve"> - объем поставки электрической энергии потребителям (покупателям) гарантирующего поставщика (энергосбытовой, энергоснабжающей организации) за расчетный период (m) (МВт·ч).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249. В случае если гарантирующим поставщиком (энергосбытовой, энергоснабжающей организацией) в интересах потребителя (покупателя) заключены договоры оказания услуг по передаче электрической энергии с организацией по управлению единой национальной (общероссийской) электрической сетью и территориальной сетевой организацией (территориальными сетевыми организациями), конечные регулируемые цены для указанного потребителя (покупателя) определяются раздельно для точек поставки, в отношении которых заключен такой договор с организацией по управлению единой национальной (общероссийской) электрической сетью, и точек поставки, в отношении которых договор заключен с территориальной сетевой организацией, исходя из соответствующих конечных регулируемых цен для договоров купли-продажи (поставки) электрической энергии (мощности), увеличенных на соответствующую плату за услуги по передаче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250. 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конечные регулируемые цены определяются </w:t>
      </w:r>
      <w:r>
        <w:rPr>
          <w:rFonts w:ascii="Arial" w:hAnsi="Arial" w:cs="Arial"/>
          <w:sz w:val="20"/>
          <w:szCs w:val="20"/>
        </w:rPr>
        <w:lastRenderedPageBreak/>
        <w:t>за вычетом ставки тарифа на услуги по передаче электрической энергии, используемой для целей определения расходов на оплату нормативных потерь электрической энергии при ее передаче по электрическим сетям. При этом для расчетов с потребителем (покупателем) используются конечные регулируемые цены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тарифа на услуги по передаче электрической энергии, используемую для целей определения расходов на оплату нормативных потерь электрической энергии при ее передаче по электрическим сетям, этой сетевой организации. Эти конечные регулируемые цены применяются гарантирующим поставщиком (энергосбытовой, энергоснабжающей организацией) к объемам покупки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Для потребителей (покупателей), энергопринимающие устройства которых присоединены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гарантирующий поставщик (энергосбытовая, энергоснабжающая организация) осуществляет корректировку в сторону уменьшения конечных регулируемых цен.</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Величина, на которую уменьшается ставка за электрическую энергию конечной регулируемой цены для четвертой и шестой ценовых категорий </w:t>
      </w:r>
      <w:r>
        <w:rPr>
          <w:rFonts w:ascii="Arial" w:hAnsi="Arial" w:cs="Arial"/>
          <w:noProof/>
          <w:position w:val="-9"/>
          <w:sz w:val="20"/>
          <w:szCs w:val="20"/>
          <w:lang w:eastAsia="ru-RU"/>
        </w:rPr>
        <w:drawing>
          <wp:inline distT="0" distB="0" distL="0" distR="0">
            <wp:extent cx="419100" cy="24765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Pr>
          <w:rFonts w:ascii="Arial" w:hAnsi="Arial" w:cs="Arial"/>
          <w:sz w:val="20"/>
          <w:szCs w:val="20"/>
        </w:rPr>
        <w:t>, определяется по формуле (рублей/МВт·ч):</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1009650" cy="24765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1009650" cy="24765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552450" cy="257175"/>
            <wp:effectExtent l="0" t="0" r="0" b="9525"/>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Pr>
          <w:rFonts w:ascii="Arial" w:hAnsi="Arial" w:cs="Arial"/>
          <w:sz w:val="20"/>
          <w:szCs w:val="20"/>
        </w:rPr>
        <w:t xml:space="preserve"> -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определенная органом исполнительной власти субъекта Российской Федерации в области регулирования тарифов и опубликованная им на своем официальном сайте в сети "Интернет"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251. Без учета тарифа на услуги по передаче электрической энергии определяются конечные регулируемые цены на электрическую энергию (мощность), приобретаемую в целях компенсации потерь в сетях сетевых организаций, необходимая валовая выручка которых включена в расчет тарифа на услуги по передаче электрической энергии. Указанные регулируемые цены применяются отдельно к величинам непревышения и отдельно к величинам превышения фактических объемов потерь электрической энергии над объемами потерь, учтенными в сводном прогнозном балансе в соответствующем расчетном периоде в отношении сетевой организации. При этом для определения конечных регулируемых цен в отношении величин непревышения фактических объемов потерь электрической энергии над объемами потерь, учтенными в сводном прогнозном балансе в соответствующем расчетном периоде в отношении сетевой организации, используется сбытовая надбавка гарантирующего поставщика, установленная в отношении сетевых организаций, а в отношении величин превышения - сбытовая надбавка гарантирующего поставщика, установленная в отношении потребителей, не относящихся к организациям, оказывающим услуги по передаче электрической энергии, населению и приравненным к нему категориям.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определении и применении конечных регулируемых цен на электрическую энергию (мощность), поставляемую потребителям (покупателям) на розничных рынках, заключившим договор купли-продажи (поставки) электрической энергии (мощности), гарантирующий поставщик (энергосбытовая, энергоснабжающая организация) осуществляет корректировку в сторону уменьшения указанных конечных регулируемых цен.</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Величина, на которую уменьшаются ставки за электрическую энергию конечной регулируемой цены для четвертой и шестой ценовых категорий, применяемые к фактически поставленному потребителю (покупателю) объему электрической энергии на j-м уровне напряжения </w:t>
      </w:r>
      <w:r>
        <w:rPr>
          <w:rFonts w:ascii="Arial" w:hAnsi="Arial" w:cs="Arial"/>
          <w:noProof/>
          <w:position w:val="-9"/>
          <w:sz w:val="20"/>
          <w:szCs w:val="20"/>
          <w:lang w:eastAsia="ru-RU"/>
        </w:rPr>
        <w:drawing>
          <wp:inline distT="0" distB="0" distL="0" distR="0">
            <wp:extent cx="552450" cy="247650"/>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552450" cy="247650"/>
                    </a:xfrm>
                    <a:prstGeom prst="rect">
                      <a:avLst/>
                    </a:prstGeom>
                    <a:noFill/>
                    <a:ln>
                      <a:noFill/>
                    </a:ln>
                  </pic:spPr>
                </pic:pic>
              </a:graphicData>
            </a:graphic>
          </wp:inline>
        </w:drawing>
      </w:r>
      <w:r>
        <w:rPr>
          <w:rFonts w:ascii="Arial" w:hAnsi="Arial" w:cs="Arial"/>
          <w:sz w:val="20"/>
          <w:szCs w:val="20"/>
        </w:rPr>
        <w:t>, определяется по формуле (рублей/МВт·ч):</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lastRenderedPageBreak/>
        <w:drawing>
          <wp:inline distT="0" distB="0" distL="0" distR="0">
            <wp:extent cx="1162050" cy="24765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1162050" cy="24765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552450" cy="257175"/>
            <wp:effectExtent l="0" t="0" r="0" b="9525"/>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Pr>
          <w:rFonts w:ascii="Arial" w:hAnsi="Arial" w:cs="Arial"/>
          <w:sz w:val="20"/>
          <w:szCs w:val="20"/>
        </w:rPr>
        <w:t xml:space="preserve"> - дифференцированная по уровням напряжения j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определенная органом исполнительной власти субъекта Российской Федерации в области регулирования тарифов и опубликованная им на своем официальном сайте в сети "Интернет"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Величина, на которую уменьшаются ставки за мощность конечной регулируемой цены для четвертой и шестой ценовых категорий, отражающие удельную величину расходов на содержание электрических сетей и применяемые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085" w:history="1">
        <w:r>
          <w:rPr>
            <w:rFonts w:ascii="Arial" w:hAnsi="Arial" w:cs="Arial"/>
            <w:color w:val="0000FF"/>
            <w:sz w:val="20"/>
            <w:szCs w:val="20"/>
          </w:rPr>
          <w:t>Правилами</w:t>
        </w:r>
      </w:hyperlink>
      <w:r>
        <w:rPr>
          <w:rFonts w:ascii="Arial" w:hAnsi="Arial" w:cs="Arial"/>
          <w:sz w:val="20"/>
          <w:szCs w:val="20"/>
        </w:rPr>
        <w:t xml:space="preserve"> недискриминационного доступа к услугам по передаче электрической энергии и оказания этих услуг в отношении j-го уровня напряжения </w:t>
      </w:r>
      <w:r>
        <w:rPr>
          <w:rFonts w:ascii="Arial" w:hAnsi="Arial" w:cs="Arial"/>
          <w:noProof/>
          <w:position w:val="-9"/>
          <w:sz w:val="20"/>
          <w:szCs w:val="20"/>
          <w:lang w:eastAsia="ru-RU"/>
        </w:rPr>
        <w:drawing>
          <wp:inline distT="0" distB="0" distL="0" distR="0">
            <wp:extent cx="438150" cy="24765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Pr>
          <w:rFonts w:ascii="Arial" w:hAnsi="Arial" w:cs="Arial"/>
          <w:sz w:val="20"/>
          <w:szCs w:val="20"/>
        </w:rPr>
        <w:t>, определяется по формуле (рублей/МВт):</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1028700" cy="247650"/>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1028700" cy="24765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552450" cy="257175"/>
            <wp:effectExtent l="0" t="0" r="0" b="9525"/>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Pr>
          <w:rFonts w:ascii="Arial" w:hAnsi="Arial" w:cs="Arial"/>
          <w:sz w:val="20"/>
          <w:szCs w:val="20"/>
        </w:rP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определенная органом исполнительной власти субъекта Российской Федерации в области регулирования тарифов и опубликованная им на своем официальном сайте в сети "Интернет" (рублей/МВт).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Величина, на которую уменьшаются конечные регулируемые цены для первой, второй, третьей и пятой ценовых категорий определяется по формуле (рублей/МВт·ч):</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914400" cy="24765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914400" cy="24765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42900" cy="257175"/>
            <wp:effectExtent l="0" t="0" r="0" b="9525"/>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Pr>
          <w:rFonts w:ascii="Arial" w:hAnsi="Arial" w:cs="Arial"/>
          <w:sz w:val="20"/>
          <w:szCs w:val="20"/>
        </w:rPr>
        <w:t xml:space="preserve"> - одноставочный тариф на услуги по передаче электрической энергии, определенный органом исполнительной власти субъекта Российской Федерации в области регулирования тарифов и опубликованный им на своем официальном сайте в сети "Интернет"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252. При определении и применении конечных регулируемых цен на электрическую энергию (мощность), поставляемую потребителям (покупателям) на розничных рынках, заключившим договор энергоснабжения, предусматривающий урегулирование услуг по передаче электрической энергии по точкам поставки, в отношении которых гарантирующий поставщик (энергосбытовая, энергоснабжающая организация) в интересах указанного потребителя (покупателя) заключил договор оказания услуг по передаче электрической энергии с организацией по управлению единой национальной (общероссийской) электрической сетью, гарантирующий поставщик (энергосбытовая, энергоснабжающая организация) осуществляет корректировку в сторону уменьшения указанных регулируемых цен на величины.</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Величина, на которую уменьшаются ставки за электрическую энергию конечной регулируемой цены для четвертой и шестой ценовых категорий, применяемые к фактически поставленному потребителю (покупателю) объему электрической энергии на j-м уровне напряжения </w:t>
      </w:r>
      <w:r>
        <w:rPr>
          <w:rFonts w:ascii="Arial" w:hAnsi="Arial" w:cs="Arial"/>
          <w:noProof/>
          <w:position w:val="-9"/>
          <w:sz w:val="20"/>
          <w:szCs w:val="20"/>
          <w:lang w:eastAsia="ru-RU"/>
        </w:rPr>
        <w:drawing>
          <wp:inline distT="0" distB="0" distL="0" distR="0">
            <wp:extent cx="647700" cy="24765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Pr>
          <w:rFonts w:ascii="Arial" w:hAnsi="Arial" w:cs="Arial"/>
          <w:sz w:val="20"/>
          <w:szCs w:val="20"/>
        </w:rPr>
        <w:t>, определяется по формуле (рублей/МВт·ч):</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2495550" cy="24765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2495550" cy="24765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lastRenderedPageBreak/>
        <w:drawing>
          <wp:inline distT="0" distB="0" distL="0" distR="0">
            <wp:extent cx="552450" cy="257175"/>
            <wp:effectExtent l="0" t="0" r="0" b="9525"/>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Pr>
          <w:rFonts w:ascii="Arial" w:hAnsi="Arial" w:cs="Arial"/>
          <w:sz w:val="20"/>
          <w:szCs w:val="20"/>
        </w:rPr>
        <w:t xml:space="preserve"> - дифференцированная по уровням напряжения j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определенная органом исполнительной власти субъекта Российской Федерации в области регулирования тарифов и опубликованная им на своем официальном сайте в сети "Интернет"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Т</w:t>
      </w:r>
      <w:r>
        <w:rPr>
          <w:rFonts w:ascii="Arial" w:hAnsi="Arial" w:cs="Arial"/>
          <w:sz w:val="20"/>
          <w:szCs w:val="20"/>
          <w:vertAlign w:val="superscript"/>
        </w:rPr>
        <w:t>пот_ЕНЭС</w:t>
      </w:r>
      <w:r>
        <w:rPr>
          <w:rFonts w:ascii="Arial" w:hAnsi="Arial" w:cs="Arial"/>
          <w:sz w:val="20"/>
          <w:szCs w:val="20"/>
        </w:rPr>
        <w:t xml:space="preserve"> -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единой национальной (общероссийской) электрической сети, определенная Федеральной антимонопольной службой и опубликованная ею на своем официальном сайте в сети "Интернет"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НТПЭ</w:t>
      </w:r>
      <w:r>
        <w:rPr>
          <w:rFonts w:ascii="Arial" w:hAnsi="Arial" w:cs="Arial"/>
          <w:sz w:val="20"/>
          <w:szCs w:val="20"/>
          <w:vertAlign w:val="subscript"/>
        </w:rPr>
        <w:t>i</w:t>
      </w:r>
      <w:r>
        <w:rPr>
          <w:rFonts w:ascii="Arial" w:hAnsi="Arial" w:cs="Arial"/>
          <w:sz w:val="20"/>
          <w:szCs w:val="20"/>
        </w:rPr>
        <w:t xml:space="preserve"> - норматив потерь электрической энергии при ее передаче по электрическим сетям единой национальной (общероссийской) электрической сети, утвержденный Министерством энергетики Российской Федерации для соответствующего класса напряжения (процентов).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Величина, на которую уменьшаются ставки за мощность конечной регулируемой цены для четвертой и шестой ценовых категорий, отражающие удельную величину расходов на содержание электрических сетей и применяемые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094" w:history="1">
        <w:r>
          <w:rPr>
            <w:rFonts w:ascii="Arial" w:hAnsi="Arial" w:cs="Arial"/>
            <w:color w:val="0000FF"/>
            <w:sz w:val="20"/>
            <w:szCs w:val="20"/>
          </w:rPr>
          <w:t>Правилами</w:t>
        </w:r>
      </w:hyperlink>
      <w:r>
        <w:rPr>
          <w:rFonts w:ascii="Arial" w:hAnsi="Arial" w:cs="Arial"/>
          <w:sz w:val="20"/>
          <w:szCs w:val="20"/>
        </w:rPr>
        <w:t xml:space="preserve"> недискриминационного доступа к услугам по передаче электрической энергии и оказания этих услуг в отношении j-го уровня напряжения </w:t>
      </w:r>
      <w:r>
        <w:rPr>
          <w:rFonts w:ascii="Arial" w:hAnsi="Arial" w:cs="Arial"/>
          <w:noProof/>
          <w:position w:val="-9"/>
          <w:sz w:val="20"/>
          <w:szCs w:val="20"/>
          <w:lang w:eastAsia="ru-RU"/>
        </w:rPr>
        <w:drawing>
          <wp:inline distT="0" distB="0" distL="0" distR="0">
            <wp:extent cx="666750" cy="24765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rPr>
          <w:rFonts w:ascii="Arial" w:hAnsi="Arial" w:cs="Arial"/>
          <w:sz w:val="20"/>
          <w:szCs w:val="20"/>
        </w:rPr>
        <w:t>, определяется по формуле (рублей/МВт):</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1924050" cy="24765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1924050" cy="24765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552450" cy="257175"/>
            <wp:effectExtent l="0" t="0" r="0" b="9525"/>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Pr>
          <w:rFonts w:ascii="Arial" w:hAnsi="Arial" w:cs="Arial"/>
          <w:sz w:val="20"/>
          <w:szCs w:val="20"/>
        </w:rP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определенная органом исполнительной власти субъекта Российской Федерации в области регулирования тарифов в отношении j-го уровня напряжения и опубликованная им на своем официальном сайте в сети "Интернет" (рублей/МВт);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Т</w:t>
      </w:r>
      <w:r>
        <w:rPr>
          <w:rFonts w:ascii="Arial" w:hAnsi="Arial" w:cs="Arial"/>
          <w:sz w:val="20"/>
          <w:szCs w:val="20"/>
          <w:vertAlign w:val="superscript"/>
        </w:rPr>
        <w:t>сод_ЕНЭС</w:t>
      </w:r>
      <w:r>
        <w:rPr>
          <w:rFonts w:ascii="Arial" w:hAnsi="Arial" w:cs="Arial"/>
          <w:sz w:val="20"/>
          <w:szCs w:val="20"/>
        </w:rPr>
        <w:t xml:space="preserve"> - ставка тарифа на услуги по передаче электрической энергии на содержание объектов электросетевого хозяйства, входящих в единую национальную (общероссийскую) электрическую сеть, определенная Федеральной антимонопольной службой и опубликованная ею на своем официальном сайте в сети "Интернет" (рублей/МВт).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253. В случае если договором энергоснабжения (купли-продажи), заключенным между энергосбытовой, энергоснабжающей организацией, приобретающей электрическую энергию (мощность) на оптовом рынке в интересах потребителя (покупателя), и этим потребителем (покупателем) не определены удельные величины расходов на реализацию (сбыт) электрической энергии, то до определения в указанном договоре по соглашению сторон указанных величин при расчете конечных регулируемых цен применяются величины сбытовых надбавок гарантирующего поставщика, в зоне деятельности которого расположены энергопринимающие устройства потребителя.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254. Конечные регулируемые цены, дифференцированные по ценовым категориям, для энергосбытовой, энергоснабжающей организации, приобретающей электрическую энергию (мощность)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определяются органами исполнительной власти субъектов Российской Федерации в области государственного регулирования тарифов с использованием формул конечных регулируемых цен, определяемых для указанных гарантирующих поставщиков (энергосбытовых, энергоснабжающих организаций) - участников оптового рынка, увеличенных на удельную величину расходов на реализацию (сбыт) электрической энергии указанной энергосбытовой, энергоснабжающей организации.</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XIII. Порядок определения потребителей, обязанных</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предоставлять гарантирующему поставщику обеспечение</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lastRenderedPageBreak/>
        <w:t>исполнения обязательств по оплате электрической энергии</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(мощности), и порядок предоставления указанного обеспечения</w:t>
      </w: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(введен </w:t>
      </w:r>
      <w:hyperlink r:id="rId1098"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04.02.2017 N 139)</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bookmarkStart w:id="248" w:name="Par2495"/>
      <w:bookmarkEnd w:id="248"/>
      <w:r>
        <w:rPr>
          <w:rFonts w:ascii="Arial" w:hAnsi="Arial" w:cs="Arial"/>
          <w:sz w:val="20"/>
          <w:szCs w:val="20"/>
        </w:rPr>
        <w:t xml:space="preserve">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w:t>
      </w:r>
      <w:hyperlink r:id="rId1099" w:history="1">
        <w:r>
          <w:rPr>
            <w:rFonts w:ascii="Arial" w:hAnsi="Arial" w:cs="Arial"/>
            <w:color w:val="0000FF"/>
            <w:sz w:val="20"/>
            <w:szCs w:val="20"/>
          </w:rPr>
          <w:t>приложением</w:t>
        </w:r>
      </w:hyperlink>
      <w:r>
        <w:rPr>
          <w:rFonts w:ascii="Arial" w:hAnsi="Arial" w:cs="Arial"/>
          <w:sz w:val="20"/>
          <w:szCs w:val="20"/>
        </w:rPr>
        <w:t xml:space="preserve">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энергии (мощности), если соответствующий потребитель не исполнил или ненадлежащим образом исполнил обязательства по оплате электрической энергии (мощности) гарантирующему поставщику и это привело к образованию задолженности перед гарантирующим поставщиком по оплате электрической энергии (мощности) в размере, равном двойному размеру среднемесячной величины обязательств потребителя по оплате электрической энергии (мощности) или превышающем такой двойной размер.</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100"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17.09.2018 N 1096)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определении соответствия указанного потребителя критерию, установленному </w:t>
      </w:r>
      <w:hyperlink w:anchor="Par2495" w:history="1">
        <w:r>
          <w:rPr>
            <w:rFonts w:ascii="Arial" w:hAnsi="Arial" w:cs="Arial"/>
            <w:color w:val="0000FF"/>
            <w:sz w:val="20"/>
            <w:szCs w:val="20"/>
          </w:rPr>
          <w:t>абзацем первым</w:t>
        </w:r>
      </w:hyperlink>
      <w:r>
        <w:rPr>
          <w:rFonts w:ascii="Arial" w:hAnsi="Arial" w:cs="Arial"/>
          <w:sz w:val="20"/>
          <w:szCs w:val="20"/>
        </w:rPr>
        <w:t xml:space="preserve"> настоящего пункта, учитывается задолженность перед гарантирующим поставщиком по оплате электрической энергии (мощности), подтвержденная вступившим в законную силу решением суда или признанная таким потребителем.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Документами, свидетельствующими о признании потребителем задолженности перед гарантирующим поставщиком, являются документы, в которых содержится явно выраженное согласие потребителя с фактом наличия задолженности перед гарантирующим поставщиком и с размером такой задолженности (соглашение между гарантирующим поставщиком и потребителем, акт сверки взаимных расчетов, письмо, подписанное уполномоченным лицом потребителя, или иной документ).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целях применения настоящего документа среднемесячная величина обязательств по оплате электрической энергии (мощности) (P</w:t>
      </w:r>
      <w:r>
        <w:rPr>
          <w:rFonts w:ascii="Arial" w:hAnsi="Arial" w:cs="Arial"/>
          <w:sz w:val="20"/>
          <w:szCs w:val="20"/>
          <w:vertAlign w:val="subscript"/>
        </w:rPr>
        <w:t>обяз</w:t>
      </w:r>
      <w:r>
        <w:rPr>
          <w:rFonts w:ascii="Arial" w:hAnsi="Arial" w:cs="Arial"/>
          <w:sz w:val="20"/>
          <w:szCs w:val="20"/>
        </w:rPr>
        <w:t>) определяется гарантирующим поставщиком по формуле:</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21"/>
          <w:sz w:val="20"/>
          <w:szCs w:val="20"/>
          <w:lang w:eastAsia="ru-RU"/>
        </w:rPr>
        <w:drawing>
          <wp:inline distT="0" distB="0" distL="0" distR="0">
            <wp:extent cx="838200" cy="40005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838200" cy="40005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S</w:t>
      </w:r>
      <w:r>
        <w:rPr>
          <w:rFonts w:ascii="Arial" w:hAnsi="Arial" w:cs="Arial"/>
          <w:sz w:val="20"/>
          <w:szCs w:val="20"/>
          <w:vertAlign w:val="subscript"/>
        </w:rPr>
        <w:t>пост</w:t>
      </w:r>
      <w:r>
        <w:rPr>
          <w:rFonts w:ascii="Arial" w:hAnsi="Arial" w:cs="Arial"/>
          <w:sz w:val="20"/>
          <w:szCs w:val="20"/>
        </w:rPr>
        <w:t xml:space="preserve"> - стоимость электрической энергии (мощности), указанная в счетах на оплату фактически потребленной электрической энергии (мощности) или в иных платежных документах, выставленных гарантирующим поставщиком потребителю за расчетные периоды, за которые у потребителя образовалась указанная в </w:t>
      </w:r>
      <w:hyperlink w:anchor="Par2495" w:history="1">
        <w:r>
          <w:rPr>
            <w:rFonts w:ascii="Arial" w:hAnsi="Arial" w:cs="Arial"/>
            <w:color w:val="0000FF"/>
            <w:sz w:val="20"/>
            <w:szCs w:val="20"/>
          </w:rPr>
          <w:t>абзаце первом</w:t>
        </w:r>
      </w:hyperlink>
      <w:r>
        <w:rPr>
          <w:rFonts w:ascii="Arial" w:hAnsi="Arial" w:cs="Arial"/>
          <w:sz w:val="20"/>
          <w:szCs w:val="20"/>
        </w:rPr>
        <w:t xml:space="preserve"> настоящего пункта задолженность перед гарантирующим поставщиком, подтвержденная вступившим в законную силу решением суда или признанная потребителем;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n - количество месяцев в периоде, за который определена стоимость электрической энергии (мощности) (S</w:t>
      </w:r>
      <w:r>
        <w:rPr>
          <w:rFonts w:ascii="Arial" w:hAnsi="Arial" w:cs="Arial"/>
          <w:sz w:val="20"/>
          <w:szCs w:val="20"/>
          <w:vertAlign w:val="subscript"/>
        </w:rPr>
        <w:t>пост</w:t>
      </w:r>
      <w:r>
        <w:rPr>
          <w:rFonts w:ascii="Arial" w:hAnsi="Arial" w:cs="Arial"/>
          <w:sz w:val="20"/>
          <w:szCs w:val="20"/>
        </w:rPr>
        <w:t xml:space="preserve">) и за который у потребителя образовалась указанная в </w:t>
      </w:r>
      <w:hyperlink w:anchor="Par2495" w:history="1">
        <w:r>
          <w:rPr>
            <w:rFonts w:ascii="Arial" w:hAnsi="Arial" w:cs="Arial"/>
            <w:color w:val="0000FF"/>
            <w:sz w:val="20"/>
            <w:szCs w:val="20"/>
          </w:rPr>
          <w:t>абзаце первом</w:t>
        </w:r>
      </w:hyperlink>
      <w:r>
        <w:rPr>
          <w:rFonts w:ascii="Arial" w:hAnsi="Arial" w:cs="Arial"/>
          <w:sz w:val="20"/>
          <w:szCs w:val="20"/>
        </w:rPr>
        <w:t xml:space="preserve"> настоящего пункта задолженность перед гарантирующим поставщиком, подтвержденная вступившим в законную силу решением суда или признанная потребителем.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49" w:name="Par2506"/>
      <w:bookmarkEnd w:id="249"/>
      <w:r>
        <w:rPr>
          <w:rFonts w:ascii="Arial" w:hAnsi="Arial" w:cs="Arial"/>
          <w:sz w:val="20"/>
          <w:szCs w:val="20"/>
        </w:rPr>
        <w:t xml:space="preserve">256. Гарантирующий поставщик определяет потребителя, соответствующего предусмотренному </w:t>
      </w:r>
      <w:hyperlink w:anchor="Par2495" w:history="1">
        <w:r>
          <w:rPr>
            <w:rFonts w:ascii="Arial" w:hAnsi="Arial" w:cs="Arial"/>
            <w:color w:val="0000FF"/>
            <w:sz w:val="20"/>
            <w:szCs w:val="20"/>
          </w:rPr>
          <w:t>абзацем первым пункта 255</w:t>
        </w:r>
      </w:hyperlink>
      <w:r>
        <w:rPr>
          <w:rFonts w:ascii="Arial" w:hAnsi="Arial" w:cs="Arial"/>
          <w:sz w:val="20"/>
          <w:szCs w:val="20"/>
        </w:rPr>
        <w:t xml:space="preserve"> настоящего документа критерию, и направляет ему уведомление об обязанности предоставить обеспечение исполнения обязательств по оплате электрической энергии (мощности) способом, позволяющим подтвердить факт и дату получения уведомления.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Уведомление об обязанности предоставить обеспечение исполнения обязательств по оплате электрической энергии (мощности) направляется в срок, не превышающий 6 месяцев со дня возникновения задолженности, при наличии которой в соответствии с </w:t>
      </w:r>
      <w:hyperlink w:anchor="Par2495" w:history="1">
        <w:r>
          <w:rPr>
            <w:rFonts w:ascii="Arial" w:hAnsi="Arial" w:cs="Arial"/>
            <w:color w:val="0000FF"/>
            <w:sz w:val="20"/>
            <w:szCs w:val="20"/>
          </w:rPr>
          <w:t>пунктом 255</w:t>
        </w:r>
      </w:hyperlink>
      <w:r>
        <w:rPr>
          <w:rFonts w:ascii="Arial" w:hAnsi="Arial" w:cs="Arial"/>
          <w:sz w:val="20"/>
          <w:szCs w:val="20"/>
        </w:rPr>
        <w:t xml:space="preserve"> настоящего документа потребитель обязан предоставить гарантирующему поставщику обеспечение исполнения обязательств по оплате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Указанное уведомление должно содержать следующую информацию: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размер задолженности потребителя, послуживший основанием для предъявления требования о предоставлении обеспечения исполнения обязательств, расчет указанного размера задолженности и среднемесячной величины обязательств потребителя по оплате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величина обеспечения исполнения обязательств по оплате электрической энергии (мощности), подлежащего предоставлению потребителем гарантирующему поставщику;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срок, на который должно быть предоставлено обеспечение исполнения обязательств по оплате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50" w:name="Par2512"/>
      <w:bookmarkEnd w:id="250"/>
      <w:r>
        <w:rPr>
          <w:rFonts w:ascii="Arial" w:hAnsi="Arial" w:cs="Arial"/>
          <w:sz w:val="20"/>
          <w:szCs w:val="20"/>
        </w:rPr>
        <w:t>срок, в течение которого необходимо предоставить обеспечение исполнения обязательств по оплате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257. Величина обеспечения исполнения обязательств по оплате электрической энергии (мощности), подлежащего предоставлению потребителем, который соответствует предусмотренному </w:t>
      </w:r>
      <w:hyperlink w:anchor="Par2495" w:history="1">
        <w:r>
          <w:rPr>
            <w:rFonts w:ascii="Arial" w:hAnsi="Arial" w:cs="Arial"/>
            <w:color w:val="0000FF"/>
            <w:sz w:val="20"/>
            <w:szCs w:val="20"/>
          </w:rPr>
          <w:t>абзацем первым пункта 255</w:t>
        </w:r>
      </w:hyperlink>
      <w:r>
        <w:rPr>
          <w:rFonts w:ascii="Arial" w:hAnsi="Arial" w:cs="Arial"/>
          <w:sz w:val="20"/>
          <w:szCs w:val="20"/>
        </w:rPr>
        <w:t xml:space="preserve"> настоящего документа критерию, определяется гарантирующим поставщиком и не может превышать размер задолженности потребителя по оплате электрической энергии (мощности), послуживший основанием для предъявления к нему требования о предоставлении обеспечения исполнения обязательств.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258. Потребитель, соответствующий предусмотренному </w:t>
      </w:r>
      <w:hyperlink w:anchor="Par2495" w:history="1">
        <w:r>
          <w:rPr>
            <w:rFonts w:ascii="Arial" w:hAnsi="Arial" w:cs="Arial"/>
            <w:color w:val="0000FF"/>
            <w:sz w:val="20"/>
            <w:szCs w:val="20"/>
          </w:rPr>
          <w:t>абзацем первым пункта 255</w:t>
        </w:r>
      </w:hyperlink>
      <w:r>
        <w:rPr>
          <w:rFonts w:ascii="Arial" w:hAnsi="Arial" w:cs="Arial"/>
          <w:sz w:val="20"/>
          <w:szCs w:val="20"/>
        </w:rPr>
        <w:t xml:space="preserve"> настоящего документа критерию, обязан предоставить гарантирующему поставщику обеспечение исполнения обязательств по оплате электрической энергии (мощности) на срок, определяемый гарантирующим поставщиком. Указанный срок не может превышать 6 месяцев со дня предоставления обеспечения исполнения обязательств.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259. Срок, в течение которого необходимо предоставить обеспечение исполнения обязательств по оплате электрической энергии (мощности), определяется гарантирующим поставщиком, при этом дата окончания указанного срока не может наступить ранее чем через 60 дней со дня получения потребителем уведомления об обязанности предоставить обеспечение исполнения обязательств по оплате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260. Обеспечение исполнения обязательств по оплате электрической энергии (мощности) предоставляется потребителем, который соответствует предусмотренному </w:t>
      </w:r>
      <w:hyperlink w:anchor="Par2495" w:history="1">
        <w:r>
          <w:rPr>
            <w:rFonts w:ascii="Arial" w:hAnsi="Arial" w:cs="Arial"/>
            <w:color w:val="0000FF"/>
            <w:sz w:val="20"/>
            <w:szCs w:val="20"/>
          </w:rPr>
          <w:t>абзацем первым пункта 255</w:t>
        </w:r>
      </w:hyperlink>
      <w:r>
        <w:rPr>
          <w:rFonts w:ascii="Arial" w:hAnsi="Arial" w:cs="Arial"/>
          <w:sz w:val="20"/>
          <w:szCs w:val="20"/>
        </w:rPr>
        <w:t xml:space="preserve"> настоящего документа критерию и определен гарантирующим поставщиком, в виде выдаваемой банком независимой гарантии, соответствующей требованиям законодательства Российской Федерации (далее - банковская гарантия).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Банковская гарантия обеспечивает исполнение возникших после ее выдачи обязанностей по оплате электрической энергии (мощности), поставляемой по договорам энергоснабжения (купли-продажи (поставки) электрической энергии (мощности), заключенным с гарантирующим поставщиком.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 согласованию с гарантирующим поставщиком потребителем может быть предоставлена государственная или муниципальная гарантия либо исполнение обязательств по оплате электрической энергии (мощности) может быть обеспечено иными способами, предусмотренными законом или договором.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Предоставление обеспечения исполнения обязательств по оплате электрической энергии (мощности) не требуется, если до истечения срока, предусмотренного </w:t>
      </w:r>
      <w:hyperlink w:anchor="Par2512" w:history="1">
        <w:r>
          <w:rPr>
            <w:rFonts w:ascii="Arial" w:hAnsi="Arial" w:cs="Arial"/>
            <w:color w:val="0000FF"/>
            <w:sz w:val="20"/>
            <w:szCs w:val="20"/>
          </w:rPr>
          <w:t>абзацем седьмым пункта 256</w:t>
        </w:r>
      </w:hyperlink>
      <w:r>
        <w:rPr>
          <w:rFonts w:ascii="Arial" w:hAnsi="Arial" w:cs="Arial"/>
          <w:sz w:val="20"/>
          <w:szCs w:val="20"/>
        </w:rPr>
        <w:t xml:space="preserve"> настоящего документа, обязательства по оплате электрической энергии (мощности), неисполнение или ненадлежащее исполнение которых послужило основанием для возникновения у потребителя обязанности предоставить обеспечение исполнения обязательств, исполнены в полном объеме.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51" w:name="Par2520"/>
      <w:bookmarkEnd w:id="251"/>
      <w:r>
        <w:rPr>
          <w:rFonts w:ascii="Arial" w:hAnsi="Arial" w:cs="Arial"/>
          <w:sz w:val="20"/>
          <w:szCs w:val="20"/>
        </w:rPr>
        <w:t xml:space="preserve">261. В случае если предоставленная потребителем банковская гарантия удовлетворяет требованиям Федерального </w:t>
      </w:r>
      <w:hyperlink r:id="rId1102" w:history="1">
        <w:r>
          <w:rPr>
            <w:rFonts w:ascii="Arial" w:hAnsi="Arial" w:cs="Arial"/>
            <w:color w:val="0000FF"/>
            <w:sz w:val="20"/>
            <w:szCs w:val="20"/>
          </w:rPr>
          <w:t>закона</w:t>
        </w:r>
      </w:hyperlink>
      <w:r>
        <w:rPr>
          <w:rFonts w:ascii="Arial" w:hAnsi="Arial" w:cs="Arial"/>
          <w:sz w:val="20"/>
          <w:szCs w:val="20"/>
        </w:rPr>
        <w:t xml:space="preserve"> "Об электроэнергетике" и настоящего документа или если предоставленное иное обеспечение исполнения обязательств по оплате электрической энергии (мощности)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не позднее 3 рабочих дней со дня получения банковской гарантии (иного обеспечения исполнения обязательств по оплате электрической энергии (мощности) направляет потребителю уведомление о ее принятии способом, позволяющим подтвердить факт и дату получения уведомления.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В случае если предоставленная банковская гарантия не удовлетворяет требованиям Федерального </w:t>
      </w:r>
      <w:hyperlink r:id="rId1103" w:history="1">
        <w:r>
          <w:rPr>
            <w:rFonts w:ascii="Arial" w:hAnsi="Arial" w:cs="Arial"/>
            <w:color w:val="0000FF"/>
            <w:sz w:val="20"/>
            <w:szCs w:val="20"/>
          </w:rPr>
          <w:t>закона</w:t>
        </w:r>
      </w:hyperlink>
      <w:r>
        <w:rPr>
          <w:rFonts w:ascii="Arial" w:hAnsi="Arial" w:cs="Arial"/>
          <w:sz w:val="20"/>
          <w:szCs w:val="20"/>
        </w:rPr>
        <w:t xml:space="preserve"> "Об электроэнергетике" и настоящего документа, гарантирующий поставщик в срок, предусмотренный </w:t>
      </w:r>
      <w:hyperlink w:anchor="Par2520" w:history="1">
        <w:r>
          <w:rPr>
            <w:rFonts w:ascii="Arial" w:hAnsi="Arial" w:cs="Arial"/>
            <w:color w:val="0000FF"/>
            <w:sz w:val="20"/>
            <w:szCs w:val="20"/>
          </w:rPr>
          <w:t>абзацем первым</w:t>
        </w:r>
      </w:hyperlink>
      <w:r>
        <w:rPr>
          <w:rFonts w:ascii="Arial" w:hAnsi="Arial" w:cs="Arial"/>
          <w:sz w:val="20"/>
          <w:szCs w:val="20"/>
        </w:rPr>
        <w:t xml:space="preserve"> настоящего пункта, направляет потребителю уведомление о непринятии предоставленной банковской гарантии с указанием причины непринятия способом, позволяющим подтвердить факт и дату получения уведомления.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если предоставленное потребителем иное обеспечение исполнения обязательств по оплате электрической энергии (мощности) не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в срок, предусмотренный </w:t>
      </w:r>
      <w:hyperlink w:anchor="Par2520" w:history="1">
        <w:r>
          <w:rPr>
            <w:rFonts w:ascii="Arial" w:hAnsi="Arial" w:cs="Arial"/>
            <w:color w:val="0000FF"/>
            <w:sz w:val="20"/>
            <w:szCs w:val="20"/>
          </w:rPr>
          <w:t>абзацем первым</w:t>
        </w:r>
      </w:hyperlink>
      <w:r>
        <w:rPr>
          <w:rFonts w:ascii="Arial" w:hAnsi="Arial" w:cs="Arial"/>
          <w:sz w:val="20"/>
          <w:szCs w:val="20"/>
        </w:rPr>
        <w:t xml:space="preserve"> настоящего пункта, направляет потребителю уведомление о непринятии предоставленного обеспечения исполнения с указанием причины непринятия способом, позволяющим подтвердить факт и дату получения уведомления.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52" w:name="Par2523"/>
      <w:bookmarkEnd w:id="252"/>
      <w:r>
        <w:rPr>
          <w:rFonts w:ascii="Arial" w:hAnsi="Arial" w:cs="Arial"/>
          <w:sz w:val="20"/>
          <w:szCs w:val="20"/>
        </w:rPr>
        <w:t>262. Гарантирующий поставщик подготавливает предложения для формирования перечня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Указанные предложения должны содержать следующие сведения о потребителе: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полное и сокращенное (при наличии) наименования юридического лица, его адрес, идентификационный номер налогоплательщика и код причины постановки юридического лица на учет в налоговом органе в соответствии со сведениями, содержащимися в Едином государственном реестре юридических лиц;</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фамилия, имя и отчество (при наличии) индивидуального предпринимателя (физического лица),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 (при наличии таких сведений);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дата получения потребителем уведомления об обязанности предоставить обеспечение исполнения обязательств.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Указанные предложения гарантирующий поставщик направляет в электронном виде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на территории которого данный гарантирующий поставщик осуществляет поставку электрической энергии (мощности), ежемесячно, не позднее 5-го рабочего дня месяца.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полного погашения потребителем задолженности по оплате электрической энергии (мощности), послужившей основанием для возникновения обязанности предоставить обеспечение исполнения обязательств, гарантирующий поставщик направляет в электронном виде не позднее 5-го рабочего дня месяца, следующего за месяцем, в котором погашена указанная задолженность, предложение об исключении такого потребителя из перечня потребителей, сформированного в соответствии с </w:t>
      </w:r>
      <w:hyperlink w:anchor="Par2530" w:history="1">
        <w:r>
          <w:rPr>
            <w:rFonts w:ascii="Arial" w:hAnsi="Arial" w:cs="Arial"/>
            <w:color w:val="0000FF"/>
            <w:sz w:val="20"/>
            <w:szCs w:val="20"/>
          </w:rPr>
          <w:t>пунктом 263</w:t>
        </w:r>
      </w:hyperlink>
      <w:r>
        <w:rPr>
          <w:rFonts w:ascii="Arial" w:hAnsi="Arial" w:cs="Arial"/>
          <w:sz w:val="20"/>
          <w:szCs w:val="20"/>
        </w:rPr>
        <w:t xml:space="preserve"> настоящего документа,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на территории которого данный гарантирующий поставщик осуществляет поставку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53" w:name="Par2530"/>
      <w:bookmarkEnd w:id="253"/>
      <w:r>
        <w:rPr>
          <w:rFonts w:ascii="Arial" w:hAnsi="Arial" w:cs="Arial"/>
          <w:sz w:val="20"/>
          <w:szCs w:val="20"/>
        </w:rPr>
        <w:t xml:space="preserve">263.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не позднее 5-го рабочего дня, следующего за днем получения от гарантирующего поставщика предложений, указанных в </w:t>
      </w:r>
      <w:hyperlink w:anchor="Par2523" w:history="1">
        <w:r>
          <w:rPr>
            <w:rFonts w:ascii="Arial" w:hAnsi="Arial" w:cs="Arial"/>
            <w:color w:val="0000FF"/>
            <w:sz w:val="20"/>
            <w:szCs w:val="20"/>
          </w:rPr>
          <w:t>пункте 262</w:t>
        </w:r>
      </w:hyperlink>
      <w:r>
        <w:rPr>
          <w:rFonts w:ascii="Arial" w:hAnsi="Arial" w:cs="Arial"/>
          <w:sz w:val="20"/>
          <w:szCs w:val="20"/>
        </w:rPr>
        <w:t xml:space="preserve"> настоящего документа, формирует перечень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и размещает указанный перечень в открытом доступе на официальном сайте высшего должностного лица (руководителя высшего исполнительного органа государственной власти) субъекта Российской Федерации в сети "Интернет".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Ведение указанного перечня осуществляется в электронном виде путем внесения в него следующих сведений об указанных потребителях:</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полное и сокращенное (при наличии) наименования юридического лица;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фамилия, имя и отчество (при наличии) индивидуального предпринимателя (физического лица);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адрес юридического лица;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идентификационный номер налогоплательщика;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код причины постановки юридического лица на учет в налоговом органе;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дата получения потребителем уведомления об обязанности предоставить обеспечение исполнения обязательств.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Отсутствие в указанном перечне, размещенном в сети "Интернет", сведений о потребителе, соответствующем предусмотренному </w:t>
      </w:r>
      <w:hyperlink w:anchor="Par2495" w:history="1">
        <w:r>
          <w:rPr>
            <w:rFonts w:ascii="Arial" w:hAnsi="Arial" w:cs="Arial"/>
            <w:color w:val="0000FF"/>
            <w:sz w:val="20"/>
            <w:szCs w:val="20"/>
          </w:rPr>
          <w:t>абзацем первым пункта 255</w:t>
        </w:r>
      </w:hyperlink>
      <w:r>
        <w:rPr>
          <w:rFonts w:ascii="Arial" w:hAnsi="Arial" w:cs="Arial"/>
          <w:sz w:val="20"/>
          <w:szCs w:val="20"/>
        </w:rPr>
        <w:t xml:space="preserve"> настоящего документа критерию, не освобождает такого потребителя от обязанности предоставить обеспечение исполнения обязательств по оплате электрической энергии (мощности) по требованию гарантирующего поставщика.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264. В случае неисполнения потребителем, соответствующим предусмотренному </w:t>
      </w:r>
      <w:hyperlink w:anchor="Par2495" w:history="1">
        <w:r>
          <w:rPr>
            <w:rFonts w:ascii="Arial" w:hAnsi="Arial" w:cs="Arial"/>
            <w:color w:val="0000FF"/>
            <w:sz w:val="20"/>
            <w:szCs w:val="20"/>
          </w:rPr>
          <w:t>абзацем первым пункта 255</w:t>
        </w:r>
      </w:hyperlink>
      <w:r>
        <w:rPr>
          <w:rFonts w:ascii="Arial" w:hAnsi="Arial" w:cs="Arial"/>
          <w:sz w:val="20"/>
          <w:szCs w:val="20"/>
        </w:rPr>
        <w:t xml:space="preserve"> настоящего документа критерию, обязанности по предоставлению обеспечения исполнения обязательств по оплате электрической энергии (мощности) до истечения срока предоставления обеспечения, предусмотренного указанным в </w:t>
      </w:r>
      <w:hyperlink w:anchor="Par2506" w:history="1">
        <w:r>
          <w:rPr>
            <w:rFonts w:ascii="Arial" w:hAnsi="Arial" w:cs="Arial"/>
            <w:color w:val="0000FF"/>
            <w:sz w:val="20"/>
            <w:szCs w:val="20"/>
          </w:rPr>
          <w:t>пункте 256</w:t>
        </w:r>
      </w:hyperlink>
      <w:r>
        <w:rPr>
          <w:rFonts w:ascii="Arial" w:hAnsi="Arial" w:cs="Arial"/>
          <w:sz w:val="20"/>
          <w:szCs w:val="20"/>
        </w:rPr>
        <w:t xml:space="preserve"> настоящего документа уведомлением, и при наличии у указанного потребителя задолженности перед гарантирующим поставщиком, послужившей основанием для предъявления к нему требования о предоставлении обеспечения исполнения обязательств, гарантирующий поставщик направляет в федеральный орган исполнительной власти, к компетенции которого отнесено рассмотрение дел об административных правонарушениях, связанных с нарушением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сведения, указанные в </w:t>
      </w:r>
      <w:hyperlink w:anchor="Par2523" w:history="1">
        <w:r>
          <w:rPr>
            <w:rFonts w:ascii="Arial" w:hAnsi="Arial" w:cs="Arial"/>
            <w:color w:val="0000FF"/>
            <w:sz w:val="20"/>
            <w:szCs w:val="20"/>
          </w:rPr>
          <w:t>пункте 262</w:t>
        </w:r>
      </w:hyperlink>
      <w:r>
        <w:rPr>
          <w:rFonts w:ascii="Arial" w:hAnsi="Arial" w:cs="Arial"/>
          <w:sz w:val="20"/>
          <w:szCs w:val="20"/>
        </w:rPr>
        <w:t xml:space="preserve"> настоящего документа, а также следующие информацию и оригиналы документов (заверенные надлежащим образом копии документов):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 заявление гарантирующего поставщика, содержащее данные, указывающие на наличие события административного правонарушения, в том числе информацию о размере задолженности потребителя, послужившем основанием для предъявления к нему требования о предоставлении обеспечения исполнения обязательств, а также расчет размера указанной задолженности и среднемесячной величины обязательств по оплате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б) обоснование отнесения потребителя к категории потребителей, ограничение режима потребления электрической энергии (мощности) которых может привести к экономическим, экологическим или социальным последствиям, с приложением подтверждающих документов (акты уполномоченных органов государственной власти и (или) акты уполномоченных органов местного самоуправления, в том числе акты, запрещающие введение ограничения режима потребления электрической энергии, учредительные документы потребителя, документы, подтверждающие право владения потребителя энергопринимающими устройствами, выписка из опубликованного перечня потребителей электрической энергии в субъекте Российской Федерации, ограничение режима потребления электрической энергии (мощности) которых может привести к экономическим, экологическим или социальным последствиям, акты согласования технологической и (или) аварийной брони и иные документы, подтверждающие, что ограничение режима потребления электрической энергии (мощности) такого потребителя может привести к экономическим, экологическим, социальным последствиям);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фамилия, имя, отчество (при наличии), дата рождения, место жительства руководителя и (или) иного должностного лица потребителя (при наличии такой информации);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 договор, по которому потребителем были нарушены обязательства по оплате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 вступившие в законную силу судебные решения, подтверждающие наличие задолженности потребителя, и (или) документы, подтверждающие признание потребителем задолженности перед гарантирующим поставщиком;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е) счета на оплату электрической энергии (мощности) или иные платежные документы, в связи с неоплатой которых у потребителя имеется задолженность, послужившая основанием для возникновения у потребителя обязанности предоставить обеспечение исполнения обязательств;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ж) справка, подписанная уполномоченным лицом гарантирующего поставщика и подтверждающая отсутствие полной оплаты задолженности, послужившей основанием для направления уведомления об </w:t>
      </w:r>
      <w:r>
        <w:rPr>
          <w:rFonts w:ascii="Arial" w:hAnsi="Arial" w:cs="Arial"/>
          <w:sz w:val="20"/>
          <w:szCs w:val="20"/>
        </w:rPr>
        <w:lastRenderedPageBreak/>
        <w:t>обязанности предоставить обеспечение исполнения обязательств, и факт непредоставления данного обеспечения в установленный срок, и (или) иные документы, подтверждающие факт неисполнения потребителем обязанности предоставить обеспечение исполнения обязательств по оплате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з) уведомление об обязанности предоставить обеспечение исполнения обязательств по оплате электрической энергии (мощности) или информация, содержащаяся в таком уведомлении;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 документы, подтверждающие факт и дату получения потребителем уведомления об обязанности предоставить обеспечение исполнения обязательств по оплате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к) документы, подтверждающие полномочия лица на подписание заявления.</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XIV. Особенности регулирования отношений,</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связанных с функционированием розничных рынков</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электрической энергии, в связи с введением мер</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по недопущению распространения новой</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коронавирусной инфекции</w:t>
      </w: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(введен </w:t>
      </w:r>
      <w:hyperlink r:id="rId1104"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30.04.2020 N 628)</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265. С 20 апреля 2020 г. до 1-го числа месяца, следующего за месяцем, в котором истекают нерабочие дни, установленные нормативными правовыми актами Президента Российской Федерации о мерах по обеспечению санитарно-эпидемиологического благополучия населения на территории Российской Федерации в связи с распространением новой коронавирусной инфекции, в целях определения объема фактического пикового потребления гарантирующего поставщика, определения величины мощности, оплачиваемой на розничном рынке потребителем (покупателем) за расчетный период, определения часа максимальной фактической пиковой нагрузки в технологически изолированной территориальной электроэнергетической системе в отношении суток, определения почасовых объемов потребления электрической энергии в установленные системным оператором плановые часы пиковой нагрузки в рабочие дни расчетного периода рабочими сутками (рабочими днями) признаются дни с понедельника по пятницу, за исключением случаев, когда указанные дни являются нерабочими праздничными днями или рабочими днями, на которые перенесены выходные дни, в соответствии с трудовым </w:t>
      </w:r>
      <w:hyperlink r:id="rId1105" w:history="1">
        <w:r>
          <w:rPr>
            <w:rFonts w:ascii="Arial" w:hAnsi="Arial" w:cs="Arial"/>
            <w:color w:val="0000FF"/>
            <w:sz w:val="20"/>
            <w:szCs w:val="20"/>
          </w:rPr>
          <w:t>законодательством</w:t>
        </w:r>
      </w:hyperlink>
      <w:r>
        <w:rPr>
          <w:rFonts w:ascii="Arial" w:hAnsi="Arial" w:cs="Arial"/>
          <w:sz w:val="20"/>
          <w:szCs w:val="20"/>
        </w:rPr>
        <w:t xml:space="preserve"> Российской Федерации.</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right"/>
        <w:outlineLvl w:val="1"/>
        <w:rPr>
          <w:rFonts w:ascii="Arial" w:hAnsi="Arial" w:cs="Arial"/>
          <w:sz w:val="20"/>
          <w:szCs w:val="20"/>
        </w:rPr>
      </w:pPr>
      <w:r>
        <w:rPr>
          <w:rFonts w:ascii="Arial" w:hAnsi="Arial" w:cs="Arial"/>
          <w:sz w:val="20"/>
          <w:szCs w:val="20"/>
        </w:rPr>
        <w:t>Приложение N 1</w:t>
      </w:r>
    </w:p>
    <w:p w:rsidR="009F5AFE" w:rsidRDefault="009F5AFE" w:rsidP="009F5AF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к Основным положениям</w:t>
      </w:r>
    </w:p>
    <w:p w:rsidR="009F5AFE" w:rsidRDefault="009F5AFE" w:rsidP="009F5AF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функционирования розничных</w:t>
      </w:r>
    </w:p>
    <w:p w:rsidR="009F5AFE" w:rsidRDefault="009F5AFE" w:rsidP="009F5AF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рынков электрической энергии</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bookmarkStart w:id="254" w:name="Par2569"/>
      <w:bookmarkEnd w:id="254"/>
      <w:r>
        <w:rPr>
          <w:rFonts w:ascii="Arial" w:eastAsiaTheme="minorHAnsi" w:hAnsi="Arial" w:cs="Arial"/>
          <w:color w:val="auto"/>
          <w:sz w:val="20"/>
          <w:szCs w:val="20"/>
        </w:rPr>
        <w:t>ПОКАЗАТЕЛИ ФИНАНСОВОГО СОСТОЯНИЯ ГАРАНТИРУЮЩЕГО ПОСТАВЩИКА</w:t>
      </w:r>
    </w:p>
    <w:p w:rsidR="009F5AFE" w:rsidRDefault="009F5AFE" w:rsidP="009F5AFE">
      <w:pPr>
        <w:autoSpaceDE w:val="0"/>
        <w:autoSpaceDN w:val="0"/>
        <w:adjustRightInd w:val="0"/>
        <w:spacing w:after="0" w:line="240" w:lineRule="auto"/>
        <w:rPr>
          <w:rFonts w:ascii="Arial" w:hAnsi="Arial" w:cs="Arial"/>
          <w:sz w:val="24"/>
          <w:szCs w:val="24"/>
        </w:rPr>
      </w:pPr>
    </w:p>
    <w:tbl>
      <w:tblPr>
        <w:tblW w:w="5000" w:type="pct"/>
        <w:jc w:val="center"/>
        <w:tblLayout w:type="fixed"/>
        <w:tblCellMar>
          <w:top w:w="113" w:type="dxa"/>
          <w:left w:w="113" w:type="dxa"/>
          <w:bottom w:w="113" w:type="dxa"/>
          <w:right w:w="113" w:type="dxa"/>
        </w:tblCellMar>
        <w:tblLook w:val="0000" w:firstRow="0" w:lastRow="0" w:firstColumn="0" w:lastColumn="0" w:noHBand="0" w:noVBand="0"/>
      </w:tblPr>
      <w:tblGrid>
        <w:gridCol w:w="10433"/>
      </w:tblGrid>
      <w:tr w:rsidR="009F5AFE">
        <w:trPr>
          <w:jc w:val="center"/>
        </w:trPr>
        <w:tc>
          <w:tcPr>
            <w:tcW w:w="5000" w:type="pct"/>
            <w:tcBorders>
              <w:left w:val="single" w:sz="24" w:space="0" w:color="CED3F1"/>
              <w:right w:val="single" w:sz="24" w:space="0" w:color="F4F3F8"/>
            </w:tcBorders>
            <w:shd w:val="clear" w:color="auto" w:fill="F4F3F8"/>
          </w:tcPr>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Список изменяющих документов</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(в ред. Постановлений Правительства РФ от 30.12.2012 </w:t>
            </w:r>
            <w:hyperlink r:id="rId1106" w:history="1">
              <w:r>
                <w:rPr>
                  <w:rFonts w:ascii="Arial" w:hAnsi="Arial" w:cs="Arial"/>
                  <w:color w:val="0000FF"/>
                  <w:sz w:val="20"/>
                  <w:szCs w:val="20"/>
                </w:rPr>
                <w:t>N 1482</w:t>
              </w:r>
            </w:hyperlink>
            <w:r>
              <w:rPr>
                <w:rFonts w:ascii="Arial" w:hAnsi="Arial" w:cs="Arial"/>
                <w:color w:val="392C69"/>
                <w:sz w:val="20"/>
                <w:szCs w:val="20"/>
              </w:rPr>
              <w:t>,</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30.01.2013 </w:t>
            </w:r>
            <w:hyperlink r:id="rId1107" w:history="1">
              <w:r>
                <w:rPr>
                  <w:rFonts w:ascii="Arial" w:hAnsi="Arial" w:cs="Arial"/>
                  <w:color w:val="0000FF"/>
                  <w:sz w:val="20"/>
                  <w:szCs w:val="20"/>
                </w:rPr>
                <w:t>N 67</w:t>
              </w:r>
            </w:hyperlink>
            <w:r>
              <w:rPr>
                <w:rFonts w:ascii="Arial" w:hAnsi="Arial" w:cs="Arial"/>
                <w:color w:val="392C69"/>
                <w:sz w:val="20"/>
                <w:szCs w:val="20"/>
              </w:rPr>
              <w:t>)</w:t>
            </w:r>
          </w:p>
        </w:tc>
      </w:tr>
    </w:tbl>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Показателями финансового состояния гарантирующего поставщика (лица, участвующего в конкурсе на присвоение статуса гарантирующего поставщика) являются: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оборачиваемость кредиторской задолженности;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доля просроченной кредиторской задолженности в общей величине кредиторской задолженности;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отношение выручки к краткосрочному заемному капиталу (лимит долгового покрытия).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Рекомендуемые и предельные значения указанных показателей приведены в </w:t>
      </w:r>
      <w:hyperlink w:anchor="Par2588" w:history="1">
        <w:r>
          <w:rPr>
            <w:rFonts w:ascii="Arial" w:hAnsi="Arial" w:cs="Arial"/>
            <w:color w:val="0000FF"/>
            <w:sz w:val="20"/>
            <w:szCs w:val="20"/>
          </w:rPr>
          <w:t>таблице 1</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2. Значения показателей финансового состояния гарантирующего поставщика (лица, участвующего в конкурсе на присвоение статуса гарантирующего поставщика) для целей их сопоставления со значениями показателей, указанными в </w:t>
      </w:r>
      <w:hyperlink w:anchor="Par2588" w:history="1">
        <w:r>
          <w:rPr>
            <w:rFonts w:ascii="Arial" w:hAnsi="Arial" w:cs="Arial"/>
            <w:color w:val="0000FF"/>
            <w:sz w:val="20"/>
            <w:szCs w:val="20"/>
          </w:rPr>
          <w:t>таблице 1</w:t>
        </w:r>
      </w:hyperlink>
      <w:r>
        <w:rPr>
          <w:rFonts w:ascii="Arial" w:hAnsi="Arial" w:cs="Arial"/>
          <w:sz w:val="20"/>
          <w:szCs w:val="20"/>
        </w:rPr>
        <w:t>, определяются с использованием промежуточных показателей и данных, содержащихся в промежуточной (годовой) бухгалтерской (финансовой) отчетности гарантирующего поставщика (лица, участвующего в конкурсе на присвоение статуса гарантирующего поставщика).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108"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30.01.2013 N 67)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Промежуточные показатели финансового состояния гарантирующего поставщика определяются согласно </w:t>
      </w:r>
      <w:hyperlink w:anchor="Par2609" w:history="1">
        <w:r>
          <w:rPr>
            <w:rFonts w:ascii="Arial" w:hAnsi="Arial" w:cs="Arial"/>
            <w:color w:val="0000FF"/>
            <w:sz w:val="20"/>
            <w:szCs w:val="20"/>
          </w:rPr>
          <w:t>таблице 2</w:t>
        </w:r>
      </w:hyperlink>
      <w:r>
        <w:rPr>
          <w:rFonts w:ascii="Arial" w:hAnsi="Arial" w:cs="Arial"/>
          <w:sz w:val="20"/>
          <w:szCs w:val="20"/>
        </w:rPr>
        <w:t xml:space="preserve"> в соответствии с данными, содержащимися в регистрах бухгалтерского учета организации. Номера счетов бухгалтерского учета приводятся в соответствии с планом счетов бухгалтерского учета финансово-хозяйственной деятельности организаций.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Значения показателей финансового состояния гарантирующего поставщика (лица, участвующего в конкурсе на присвоение статуса гарантирующего поставщика) и их соответствие рекомендуемым и предельным значениям показателей определяются согласно </w:t>
      </w:r>
      <w:hyperlink w:anchor="Par2588" w:history="1">
        <w:r>
          <w:rPr>
            <w:rFonts w:ascii="Arial" w:hAnsi="Arial" w:cs="Arial"/>
            <w:color w:val="0000FF"/>
            <w:sz w:val="20"/>
            <w:szCs w:val="20"/>
          </w:rPr>
          <w:t>таблице 1</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Номера строк форм бухгалтерской (финансовой) отчетности приводятся в соответствии с формами, утвержденными Министерством финансов Российской Федерации.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109"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30.01.2013 N 67)</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right"/>
        <w:outlineLvl w:val="2"/>
        <w:rPr>
          <w:rFonts w:ascii="Arial" w:hAnsi="Arial" w:cs="Arial"/>
          <w:sz w:val="20"/>
          <w:szCs w:val="20"/>
        </w:rPr>
      </w:pPr>
      <w:r>
        <w:rPr>
          <w:rFonts w:ascii="Arial" w:hAnsi="Arial" w:cs="Arial"/>
          <w:sz w:val="20"/>
          <w:szCs w:val="20"/>
        </w:rPr>
        <w:t>Таблица 1</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bookmarkStart w:id="255" w:name="Par2588"/>
      <w:bookmarkEnd w:id="255"/>
      <w:r>
        <w:rPr>
          <w:rFonts w:ascii="Arial" w:eastAsiaTheme="minorHAnsi" w:hAnsi="Arial" w:cs="Arial"/>
          <w:color w:val="auto"/>
          <w:sz w:val="20"/>
          <w:szCs w:val="20"/>
        </w:rPr>
        <w:t>Показатели финансового состояния гарантирующего поставщика</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sectPr w:rsidR="009F5AFE">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65"/>
        <w:gridCol w:w="2970"/>
        <w:gridCol w:w="2805"/>
        <w:gridCol w:w="3300"/>
      </w:tblGrid>
      <w:tr w:rsidR="009F5AFE">
        <w:tc>
          <w:tcPr>
            <w:tcW w:w="3465" w:type="dxa"/>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Показатель</w:t>
            </w:r>
          </w:p>
        </w:tc>
        <w:tc>
          <w:tcPr>
            <w:tcW w:w="297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Алгоритм определения значения показателя</w:t>
            </w:r>
          </w:p>
        </w:tc>
        <w:tc>
          <w:tcPr>
            <w:tcW w:w="280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Рекомендуемое значение</w:t>
            </w:r>
          </w:p>
        </w:tc>
        <w:tc>
          <w:tcPr>
            <w:tcW w:w="3300"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Предельное значение</w:t>
            </w:r>
          </w:p>
        </w:tc>
      </w:tr>
      <w:tr w:rsidR="009F5AFE">
        <w:tc>
          <w:tcPr>
            <w:tcW w:w="3465" w:type="dxa"/>
            <w:tcBorders>
              <w:top w:val="single" w:sz="4" w:space="0" w:color="auto"/>
            </w:tcBorders>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Оборачиваемость кредиторской задолженности</w:t>
            </w:r>
          </w:p>
        </w:tc>
        <w:tc>
          <w:tcPr>
            <w:tcW w:w="2970" w:type="dxa"/>
            <w:tcBorders>
              <w:top w:val="single" w:sz="4" w:space="0" w:color="auto"/>
            </w:tcBorders>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(КЗнп + КЗкп) / 2 / ОТГРУЗКА x число дней в квартале</w:t>
            </w:r>
          </w:p>
        </w:tc>
        <w:tc>
          <w:tcPr>
            <w:tcW w:w="2805" w:type="dxa"/>
            <w:tcBorders>
              <w:top w:val="single" w:sz="4" w:space="0" w:color="auto"/>
            </w:tcBorders>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не более 35 календарных дней</w:t>
            </w:r>
          </w:p>
        </w:tc>
        <w:tc>
          <w:tcPr>
            <w:tcW w:w="3300" w:type="dxa"/>
            <w:tcBorders>
              <w:top w:val="single" w:sz="4" w:space="0" w:color="auto"/>
            </w:tcBorders>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не более 40 календарных дней</w:t>
            </w:r>
          </w:p>
        </w:tc>
      </w:tr>
      <w:tr w:rsidR="009F5AFE">
        <w:tc>
          <w:tcPr>
            <w:tcW w:w="3465" w:type="dxa"/>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Доля просроченной кредиторской задолженности в общей величине кредиторской задолженности</w:t>
            </w:r>
          </w:p>
        </w:tc>
        <w:tc>
          <w:tcPr>
            <w:tcW w:w="2970" w:type="dxa"/>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Просроченная КЗкп / КЗкп x 100%</w:t>
            </w:r>
          </w:p>
        </w:tc>
        <w:tc>
          <w:tcPr>
            <w:tcW w:w="2805" w:type="dxa"/>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не более 7%</w:t>
            </w:r>
          </w:p>
        </w:tc>
        <w:tc>
          <w:tcPr>
            <w:tcW w:w="3300" w:type="dxa"/>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не более 15%</w:t>
            </w:r>
          </w:p>
        </w:tc>
      </w:tr>
      <w:tr w:rsidR="009F5AFE">
        <w:tc>
          <w:tcPr>
            <w:tcW w:w="3465" w:type="dxa"/>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Лимит долгового покрытия</w:t>
            </w:r>
          </w:p>
        </w:tc>
        <w:tc>
          <w:tcPr>
            <w:tcW w:w="2970" w:type="dxa"/>
          </w:tcPr>
          <w:p w:rsidR="009F5AFE" w:rsidRDefault="009F5AFE">
            <w:pPr>
              <w:autoSpaceDE w:val="0"/>
              <w:autoSpaceDN w:val="0"/>
              <w:adjustRightInd w:val="0"/>
              <w:spacing w:after="0" w:line="240" w:lineRule="auto"/>
              <w:rPr>
                <w:rFonts w:ascii="Arial" w:hAnsi="Arial" w:cs="Arial"/>
                <w:sz w:val="20"/>
                <w:szCs w:val="20"/>
              </w:rPr>
            </w:pPr>
          </w:p>
        </w:tc>
        <w:tc>
          <w:tcPr>
            <w:tcW w:w="2805" w:type="dxa"/>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noProof/>
                <w:position w:val="-20"/>
                <w:sz w:val="20"/>
                <w:szCs w:val="20"/>
                <w:lang w:eastAsia="ru-RU"/>
              </w:rPr>
              <w:drawing>
                <wp:inline distT="0" distB="0" distL="0" distR="0">
                  <wp:extent cx="781050" cy="390525"/>
                  <wp:effectExtent l="0" t="0" r="0" b="9525"/>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781050" cy="390525"/>
                          </a:xfrm>
                          <a:prstGeom prst="rect">
                            <a:avLst/>
                          </a:prstGeom>
                          <a:noFill/>
                          <a:ln>
                            <a:noFill/>
                          </a:ln>
                        </pic:spPr>
                      </pic:pic>
                    </a:graphicData>
                  </a:graphic>
                </wp:inline>
              </w:drawing>
            </w:r>
          </w:p>
        </w:tc>
        <w:tc>
          <w:tcPr>
            <w:tcW w:w="3300" w:type="dxa"/>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noProof/>
                <w:position w:val="-20"/>
                <w:sz w:val="20"/>
                <w:szCs w:val="20"/>
                <w:lang w:eastAsia="ru-RU"/>
              </w:rPr>
              <w:drawing>
                <wp:inline distT="0" distB="0" distL="0" distR="0">
                  <wp:extent cx="781050" cy="390525"/>
                  <wp:effectExtent l="0" t="0" r="0" b="9525"/>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781050" cy="390525"/>
                          </a:xfrm>
                          <a:prstGeom prst="rect">
                            <a:avLst/>
                          </a:prstGeom>
                          <a:noFill/>
                          <a:ln>
                            <a:noFill/>
                          </a:ln>
                        </pic:spPr>
                      </pic:pic>
                    </a:graphicData>
                  </a:graphic>
                </wp:inline>
              </w:drawing>
            </w:r>
          </w:p>
        </w:tc>
      </w:tr>
    </w:tbl>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right"/>
        <w:outlineLvl w:val="2"/>
        <w:rPr>
          <w:rFonts w:ascii="Arial" w:hAnsi="Arial" w:cs="Arial"/>
          <w:sz w:val="20"/>
          <w:szCs w:val="20"/>
        </w:rPr>
      </w:pPr>
      <w:r>
        <w:rPr>
          <w:rFonts w:ascii="Arial" w:hAnsi="Arial" w:cs="Arial"/>
          <w:sz w:val="20"/>
          <w:szCs w:val="20"/>
        </w:rPr>
        <w:t>Таблица 2</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bookmarkStart w:id="256" w:name="Par2609"/>
      <w:bookmarkEnd w:id="256"/>
      <w:r>
        <w:rPr>
          <w:rFonts w:ascii="Arial" w:eastAsiaTheme="minorHAnsi" w:hAnsi="Arial" w:cs="Arial"/>
          <w:color w:val="auto"/>
          <w:sz w:val="20"/>
          <w:szCs w:val="20"/>
        </w:rPr>
        <w:t>Промежуточные показатели финансового состояния</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гарантирующего поставщика</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795"/>
        <w:gridCol w:w="3135"/>
        <w:gridCol w:w="5610"/>
      </w:tblGrid>
      <w:tr w:rsidR="009F5AFE">
        <w:tc>
          <w:tcPr>
            <w:tcW w:w="3795" w:type="dxa"/>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Промежуточный показатель</w:t>
            </w:r>
          </w:p>
        </w:tc>
        <w:tc>
          <w:tcPr>
            <w:tcW w:w="313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Обозначение промежуточного показателя</w:t>
            </w:r>
          </w:p>
        </w:tc>
        <w:tc>
          <w:tcPr>
            <w:tcW w:w="5610"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Определение промежуточного показателя</w:t>
            </w:r>
          </w:p>
        </w:tc>
      </w:tr>
      <w:tr w:rsidR="009F5AFE">
        <w:tc>
          <w:tcPr>
            <w:tcW w:w="3795" w:type="dxa"/>
            <w:tcBorders>
              <w:top w:val="single" w:sz="4" w:space="0" w:color="auto"/>
            </w:tcBorders>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Отгрузка (объем продаж)</w:t>
            </w:r>
          </w:p>
        </w:tc>
        <w:tc>
          <w:tcPr>
            <w:tcW w:w="3135" w:type="dxa"/>
            <w:tcBorders>
              <w:top w:val="single" w:sz="4" w:space="0" w:color="auto"/>
            </w:tcBorders>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ОТГРУЗКА</w:t>
            </w:r>
          </w:p>
        </w:tc>
        <w:tc>
          <w:tcPr>
            <w:tcW w:w="5610" w:type="dxa"/>
            <w:tcBorders>
              <w:top w:val="single" w:sz="4" w:space="0" w:color="auto"/>
            </w:tcBorders>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Дебетовый оборот по счету 62 с первого по последнее число отчетного квартала</w:t>
            </w:r>
          </w:p>
        </w:tc>
      </w:tr>
      <w:tr w:rsidR="009F5AFE">
        <w:tc>
          <w:tcPr>
            <w:tcW w:w="3795" w:type="dxa"/>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Величина кредиторской задолженности на начало периода</w:t>
            </w:r>
          </w:p>
        </w:tc>
        <w:tc>
          <w:tcPr>
            <w:tcW w:w="3135" w:type="dxa"/>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КЗнп</w:t>
            </w:r>
          </w:p>
        </w:tc>
        <w:tc>
          <w:tcPr>
            <w:tcW w:w="5610" w:type="dxa"/>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Кредитовое сальдо по счетам 60, 68, 69, 70, 76 на 1-е число отчетного квартала</w:t>
            </w:r>
          </w:p>
        </w:tc>
      </w:tr>
      <w:tr w:rsidR="009F5AFE">
        <w:tc>
          <w:tcPr>
            <w:tcW w:w="3795" w:type="dxa"/>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Величина кредиторской задолженности на конец периода</w:t>
            </w:r>
          </w:p>
        </w:tc>
        <w:tc>
          <w:tcPr>
            <w:tcW w:w="3135" w:type="dxa"/>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КЗкп</w:t>
            </w:r>
          </w:p>
        </w:tc>
        <w:tc>
          <w:tcPr>
            <w:tcW w:w="5610" w:type="dxa"/>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Кредитовое сальдо по счетам 60, 68, 69, 70, 76 на последнее число отчетного квартала</w:t>
            </w:r>
          </w:p>
        </w:tc>
      </w:tr>
      <w:tr w:rsidR="009F5AFE">
        <w:tc>
          <w:tcPr>
            <w:tcW w:w="3795" w:type="dxa"/>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Величина просроченной кредиторской задолженности на конец периода</w:t>
            </w:r>
          </w:p>
        </w:tc>
        <w:tc>
          <w:tcPr>
            <w:tcW w:w="3135" w:type="dxa"/>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Просроченная КЗкп</w:t>
            </w:r>
          </w:p>
        </w:tc>
        <w:tc>
          <w:tcPr>
            <w:tcW w:w="5610" w:type="dxa"/>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Сумма неоплаченной кредиторской задолженности, по которой прошел срок оплаты, указанный в договорах или в нормативных правовых актах Российской Федерации</w:t>
            </w:r>
          </w:p>
        </w:tc>
      </w:tr>
      <w:tr w:rsidR="009F5AFE">
        <w:tc>
          <w:tcPr>
            <w:tcW w:w="3795" w:type="dxa"/>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Среднегодовая выручка</w:t>
            </w:r>
          </w:p>
        </w:tc>
        <w:tc>
          <w:tcPr>
            <w:tcW w:w="3135" w:type="dxa"/>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Выручка (В)</w:t>
            </w:r>
          </w:p>
        </w:tc>
        <w:tc>
          <w:tcPr>
            <w:tcW w:w="5610" w:type="dxa"/>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Выручка за предшествующие отчетной дате 4 квартала без учета НДС. Показатель формируется как сумма </w:t>
            </w:r>
            <w:hyperlink r:id="rId1112" w:history="1">
              <w:r>
                <w:rPr>
                  <w:rFonts w:ascii="Arial" w:hAnsi="Arial" w:cs="Arial"/>
                  <w:color w:val="0000FF"/>
                  <w:sz w:val="20"/>
                  <w:szCs w:val="20"/>
                </w:rPr>
                <w:t>строки 2110</w:t>
              </w:r>
            </w:hyperlink>
            <w:r>
              <w:rPr>
                <w:rFonts w:ascii="Arial" w:hAnsi="Arial" w:cs="Arial"/>
                <w:sz w:val="20"/>
                <w:szCs w:val="20"/>
              </w:rPr>
              <w:t xml:space="preserve"> отчета о прибылях и убытках за текущий квартал и разности </w:t>
            </w:r>
            <w:hyperlink r:id="rId1113" w:history="1">
              <w:r>
                <w:rPr>
                  <w:rFonts w:ascii="Arial" w:hAnsi="Arial" w:cs="Arial"/>
                  <w:color w:val="0000FF"/>
                  <w:sz w:val="20"/>
                  <w:szCs w:val="20"/>
                </w:rPr>
                <w:t>строки 2110</w:t>
              </w:r>
            </w:hyperlink>
            <w:r>
              <w:rPr>
                <w:rFonts w:ascii="Arial" w:hAnsi="Arial" w:cs="Arial"/>
                <w:sz w:val="20"/>
                <w:szCs w:val="20"/>
              </w:rPr>
              <w:t xml:space="preserve"> на конец прошлого года и аналогичный текущему период прошлого года</w:t>
            </w:r>
          </w:p>
        </w:tc>
      </w:tr>
      <w:tr w:rsidR="009F5AFE">
        <w:tc>
          <w:tcPr>
            <w:tcW w:w="12540" w:type="dxa"/>
            <w:gridSpan w:val="3"/>
          </w:tcPr>
          <w:p w:rsidR="009F5AFE" w:rsidRDefault="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114"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30.12.2012 N 1482)</w:t>
            </w:r>
          </w:p>
        </w:tc>
      </w:tr>
      <w:tr w:rsidR="009F5AFE">
        <w:tc>
          <w:tcPr>
            <w:tcW w:w="3795" w:type="dxa"/>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lastRenderedPageBreak/>
              <w:t>Налоги</w:t>
            </w:r>
          </w:p>
        </w:tc>
        <w:tc>
          <w:tcPr>
            <w:tcW w:w="3135" w:type="dxa"/>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Налоги (Н)</w:t>
            </w:r>
          </w:p>
        </w:tc>
        <w:tc>
          <w:tcPr>
            <w:tcW w:w="5610" w:type="dxa"/>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Текущий налог на прибыль за предшествующие отчетной дате 4 квартала. Показатель формируется как сумма </w:t>
            </w:r>
            <w:hyperlink r:id="rId1115" w:history="1">
              <w:r>
                <w:rPr>
                  <w:rFonts w:ascii="Arial" w:hAnsi="Arial" w:cs="Arial"/>
                  <w:color w:val="0000FF"/>
                  <w:sz w:val="20"/>
                  <w:szCs w:val="20"/>
                </w:rPr>
                <w:t>строки 2410</w:t>
              </w:r>
            </w:hyperlink>
            <w:r>
              <w:rPr>
                <w:rFonts w:ascii="Arial" w:hAnsi="Arial" w:cs="Arial"/>
                <w:sz w:val="20"/>
                <w:szCs w:val="20"/>
              </w:rPr>
              <w:t xml:space="preserve"> отчета о прибылях и убытках за текущий квартал и разности </w:t>
            </w:r>
            <w:hyperlink r:id="rId1116" w:history="1">
              <w:r>
                <w:rPr>
                  <w:rFonts w:ascii="Arial" w:hAnsi="Arial" w:cs="Arial"/>
                  <w:color w:val="0000FF"/>
                  <w:sz w:val="20"/>
                  <w:szCs w:val="20"/>
                </w:rPr>
                <w:t>строки 2410</w:t>
              </w:r>
            </w:hyperlink>
            <w:r>
              <w:rPr>
                <w:rFonts w:ascii="Arial" w:hAnsi="Arial" w:cs="Arial"/>
                <w:sz w:val="20"/>
                <w:szCs w:val="20"/>
              </w:rPr>
              <w:t xml:space="preserve"> на конец прошлого года и аналогичный текущему период прошлого года</w:t>
            </w:r>
          </w:p>
        </w:tc>
      </w:tr>
      <w:tr w:rsidR="009F5AFE">
        <w:tc>
          <w:tcPr>
            <w:tcW w:w="12540" w:type="dxa"/>
            <w:gridSpan w:val="3"/>
          </w:tcPr>
          <w:p w:rsidR="009F5AFE" w:rsidRDefault="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117"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30.12.2012 N 1482)</w:t>
            </w:r>
          </w:p>
        </w:tc>
      </w:tr>
      <w:tr w:rsidR="009F5AFE">
        <w:tc>
          <w:tcPr>
            <w:tcW w:w="3795" w:type="dxa"/>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Краткосрочный заемный капитал</w:t>
            </w:r>
          </w:p>
        </w:tc>
        <w:tc>
          <w:tcPr>
            <w:tcW w:w="3135" w:type="dxa"/>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КЗК</w:t>
            </w:r>
          </w:p>
        </w:tc>
        <w:tc>
          <w:tcPr>
            <w:tcW w:w="5610" w:type="dxa"/>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Объем краткосрочных обязательств, подлежащих погашению в течение 12 месяцев с отчетной даты (сумма строк по бухгалтерскому балансу: </w:t>
            </w:r>
            <w:hyperlink r:id="rId1118" w:history="1">
              <w:r>
                <w:rPr>
                  <w:rFonts w:ascii="Arial" w:hAnsi="Arial" w:cs="Arial"/>
                  <w:color w:val="0000FF"/>
                  <w:sz w:val="20"/>
                  <w:szCs w:val="20"/>
                </w:rPr>
                <w:t>строка 1510</w:t>
              </w:r>
            </w:hyperlink>
            <w:r>
              <w:rPr>
                <w:rFonts w:ascii="Arial" w:hAnsi="Arial" w:cs="Arial"/>
                <w:sz w:val="20"/>
                <w:szCs w:val="20"/>
              </w:rPr>
              <w:t xml:space="preserve"> - заемные средства, </w:t>
            </w:r>
            <w:hyperlink r:id="rId1119" w:history="1">
              <w:r>
                <w:rPr>
                  <w:rFonts w:ascii="Arial" w:hAnsi="Arial" w:cs="Arial"/>
                  <w:color w:val="0000FF"/>
                  <w:sz w:val="20"/>
                  <w:szCs w:val="20"/>
                </w:rPr>
                <w:t>строка 1520</w:t>
              </w:r>
            </w:hyperlink>
            <w:r>
              <w:rPr>
                <w:rFonts w:ascii="Arial" w:hAnsi="Arial" w:cs="Arial"/>
                <w:sz w:val="20"/>
                <w:szCs w:val="20"/>
              </w:rPr>
              <w:t xml:space="preserve"> - кредиторская задолженность за вычетом НДС и </w:t>
            </w:r>
            <w:hyperlink r:id="rId1120" w:history="1">
              <w:r>
                <w:rPr>
                  <w:rFonts w:ascii="Arial" w:hAnsi="Arial" w:cs="Arial"/>
                  <w:color w:val="0000FF"/>
                  <w:sz w:val="20"/>
                  <w:szCs w:val="20"/>
                </w:rPr>
                <w:t>строка 1550</w:t>
              </w:r>
            </w:hyperlink>
            <w:r>
              <w:rPr>
                <w:rFonts w:ascii="Arial" w:hAnsi="Arial" w:cs="Arial"/>
                <w:sz w:val="20"/>
                <w:szCs w:val="20"/>
              </w:rPr>
              <w:t xml:space="preserve"> - прочие краткосрочные обязательства)</w:t>
            </w:r>
          </w:p>
        </w:tc>
      </w:tr>
      <w:tr w:rsidR="009F5AFE">
        <w:tc>
          <w:tcPr>
            <w:tcW w:w="12540" w:type="dxa"/>
            <w:gridSpan w:val="3"/>
          </w:tcPr>
          <w:p w:rsidR="009F5AFE" w:rsidRDefault="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121"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30.12.2012 N 1482)</w:t>
            </w:r>
          </w:p>
        </w:tc>
      </w:tr>
    </w:tbl>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right"/>
        <w:outlineLvl w:val="1"/>
        <w:rPr>
          <w:rFonts w:ascii="Arial" w:hAnsi="Arial" w:cs="Arial"/>
          <w:sz w:val="20"/>
          <w:szCs w:val="20"/>
        </w:rPr>
      </w:pPr>
      <w:r>
        <w:rPr>
          <w:rFonts w:ascii="Arial" w:hAnsi="Arial" w:cs="Arial"/>
          <w:sz w:val="20"/>
          <w:szCs w:val="20"/>
        </w:rPr>
        <w:t>Приложение N 2</w:t>
      </w:r>
    </w:p>
    <w:p w:rsidR="009F5AFE" w:rsidRDefault="009F5AFE" w:rsidP="009F5AF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к Основным положениям</w:t>
      </w:r>
    </w:p>
    <w:p w:rsidR="009F5AFE" w:rsidRDefault="009F5AFE" w:rsidP="009F5AF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функционирования розничных</w:t>
      </w:r>
    </w:p>
    <w:p w:rsidR="009F5AFE" w:rsidRDefault="009F5AFE" w:rsidP="009F5AF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рынков электрической энергии</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bookmarkStart w:id="257" w:name="Par2649"/>
      <w:bookmarkEnd w:id="257"/>
      <w:r>
        <w:rPr>
          <w:rFonts w:ascii="Arial" w:hAnsi="Arial" w:cs="Arial"/>
          <w:sz w:val="20"/>
          <w:szCs w:val="20"/>
        </w:rPr>
        <w:t>ФОРМЫ ПРЕДОСТАВЛЕНИЯ ИНФОРМАЦИИ</w:t>
      </w: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О ПОТРЕБИТЕЛЯХ ЭЛЕКТРИЧЕСКОЙ ЭНЕРГИИ (МОЩНОСТИ)</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right"/>
        <w:outlineLvl w:val="2"/>
        <w:rPr>
          <w:rFonts w:ascii="Arial" w:hAnsi="Arial" w:cs="Arial"/>
          <w:sz w:val="20"/>
          <w:szCs w:val="20"/>
        </w:rPr>
      </w:pPr>
      <w:r>
        <w:rPr>
          <w:rFonts w:ascii="Arial" w:hAnsi="Arial" w:cs="Arial"/>
          <w:sz w:val="20"/>
          <w:szCs w:val="20"/>
        </w:rPr>
        <w:t>Таблица 1</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Информация</w:t>
      </w: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о потребителях электрической энергии - физических лицах</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25"/>
        <w:gridCol w:w="11715"/>
      </w:tblGrid>
      <w:tr w:rsidR="009F5AFE">
        <w:tc>
          <w:tcPr>
            <w:tcW w:w="825" w:type="dxa"/>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N</w:t>
            </w:r>
          </w:p>
        </w:tc>
        <w:tc>
          <w:tcPr>
            <w:tcW w:w="11715"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Адрес местоположения энергопринимающих устройств</w:t>
            </w:r>
          </w:p>
        </w:tc>
      </w:tr>
      <w:tr w:rsidR="009F5AFE">
        <w:tc>
          <w:tcPr>
            <w:tcW w:w="825" w:type="dxa"/>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715"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r>
      <w:tr w:rsidR="009F5AFE">
        <w:tc>
          <w:tcPr>
            <w:tcW w:w="825" w:type="dxa"/>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715"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r>
      <w:tr w:rsidR="009F5AFE">
        <w:tc>
          <w:tcPr>
            <w:tcW w:w="825" w:type="dxa"/>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715"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r>
    </w:tbl>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right"/>
        <w:outlineLvl w:val="2"/>
        <w:rPr>
          <w:rFonts w:ascii="Arial" w:hAnsi="Arial" w:cs="Arial"/>
          <w:sz w:val="20"/>
          <w:szCs w:val="20"/>
        </w:rPr>
      </w:pPr>
      <w:r>
        <w:rPr>
          <w:rFonts w:ascii="Arial" w:hAnsi="Arial" w:cs="Arial"/>
          <w:sz w:val="20"/>
          <w:szCs w:val="20"/>
        </w:rPr>
        <w:t>Таблица 2</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Информация</w:t>
      </w: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о потребителях электрической энергии - юридических лицах</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25"/>
        <w:gridCol w:w="3630"/>
        <w:gridCol w:w="1155"/>
        <w:gridCol w:w="6930"/>
      </w:tblGrid>
      <w:tr w:rsidR="009F5AFE">
        <w:tc>
          <w:tcPr>
            <w:tcW w:w="825" w:type="dxa"/>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N</w:t>
            </w:r>
          </w:p>
        </w:tc>
        <w:tc>
          <w:tcPr>
            <w:tcW w:w="363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Наименование организации</w:t>
            </w: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ИНН</w:t>
            </w:r>
          </w:p>
        </w:tc>
        <w:tc>
          <w:tcPr>
            <w:tcW w:w="6930"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Фактический адрес организации/ местоположение энергопринимающих устройств</w:t>
            </w:r>
          </w:p>
        </w:tc>
      </w:tr>
      <w:tr w:rsidR="009F5AFE">
        <w:tc>
          <w:tcPr>
            <w:tcW w:w="825" w:type="dxa"/>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363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6930"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r>
      <w:tr w:rsidR="009F5AFE">
        <w:tc>
          <w:tcPr>
            <w:tcW w:w="825" w:type="dxa"/>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363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6930"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r>
      <w:tr w:rsidR="009F5AFE">
        <w:tc>
          <w:tcPr>
            <w:tcW w:w="825" w:type="dxa"/>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363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6930"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r>
    </w:tbl>
    <w:p w:rsidR="009F5AFE" w:rsidRDefault="009F5AFE" w:rsidP="009F5AFE">
      <w:pPr>
        <w:autoSpaceDE w:val="0"/>
        <w:autoSpaceDN w:val="0"/>
        <w:adjustRightInd w:val="0"/>
        <w:spacing w:after="0" w:line="240" w:lineRule="auto"/>
        <w:ind w:firstLine="540"/>
        <w:jc w:val="both"/>
        <w:rPr>
          <w:rFonts w:ascii="Arial" w:hAnsi="Arial" w:cs="Arial"/>
          <w:sz w:val="20"/>
          <w:szCs w:val="20"/>
        </w:rPr>
        <w:sectPr w:rsidR="009F5AFE">
          <w:pgSz w:w="16838" w:h="11906" w:orient="landscape"/>
          <w:pgMar w:top="1133" w:right="1440" w:bottom="566" w:left="1440" w:header="0" w:footer="0" w:gutter="0"/>
          <w:cols w:space="720"/>
          <w:noEndnote/>
        </w:sectPr>
      </w:pP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right"/>
        <w:outlineLvl w:val="1"/>
        <w:rPr>
          <w:rFonts w:ascii="Arial" w:hAnsi="Arial" w:cs="Arial"/>
          <w:sz w:val="20"/>
          <w:szCs w:val="20"/>
        </w:rPr>
      </w:pPr>
      <w:r>
        <w:rPr>
          <w:rFonts w:ascii="Arial" w:hAnsi="Arial" w:cs="Arial"/>
          <w:sz w:val="20"/>
          <w:szCs w:val="20"/>
        </w:rPr>
        <w:t>Приложение N 2(1)</w:t>
      </w:r>
    </w:p>
    <w:p w:rsidR="009F5AFE" w:rsidRDefault="009F5AFE" w:rsidP="009F5AF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к Основным положениям</w:t>
      </w:r>
    </w:p>
    <w:p w:rsidR="009F5AFE" w:rsidRDefault="009F5AFE" w:rsidP="009F5AF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функционирования розничных</w:t>
      </w:r>
    </w:p>
    <w:p w:rsidR="009F5AFE" w:rsidRDefault="009F5AFE" w:rsidP="009F5AF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рынков электрической энергии</w:t>
      </w:r>
    </w:p>
    <w:p w:rsidR="009F5AFE" w:rsidRDefault="009F5AFE" w:rsidP="009F5AFE">
      <w:pPr>
        <w:autoSpaceDE w:val="0"/>
        <w:autoSpaceDN w:val="0"/>
        <w:adjustRightInd w:val="0"/>
        <w:spacing w:after="0" w:line="240" w:lineRule="auto"/>
        <w:rPr>
          <w:rFonts w:ascii="Arial" w:hAnsi="Arial" w:cs="Arial"/>
          <w:sz w:val="24"/>
          <w:szCs w:val="24"/>
        </w:rPr>
      </w:pPr>
    </w:p>
    <w:tbl>
      <w:tblPr>
        <w:tblW w:w="5000" w:type="pct"/>
        <w:jc w:val="center"/>
        <w:tblLayout w:type="fixed"/>
        <w:tblCellMar>
          <w:top w:w="113" w:type="dxa"/>
          <w:left w:w="113" w:type="dxa"/>
          <w:bottom w:w="113" w:type="dxa"/>
          <w:right w:w="113" w:type="dxa"/>
        </w:tblCellMar>
        <w:tblLook w:val="0000" w:firstRow="0" w:lastRow="0" w:firstColumn="0" w:lastColumn="0" w:noHBand="0" w:noVBand="0"/>
      </w:tblPr>
      <w:tblGrid>
        <w:gridCol w:w="10433"/>
      </w:tblGrid>
      <w:tr w:rsidR="009F5AFE">
        <w:trPr>
          <w:jc w:val="center"/>
        </w:trPr>
        <w:tc>
          <w:tcPr>
            <w:tcW w:w="5000" w:type="pct"/>
            <w:tcBorders>
              <w:left w:val="single" w:sz="24" w:space="0" w:color="CED3F1"/>
              <w:right w:val="single" w:sz="24" w:space="0" w:color="F4F3F8"/>
            </w:tcBorders>
            <w:shd w:val="clear" w:color="auto" w:fill="F4F3F8"/>
          </w:tcPr>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Список изменяющих документов</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(введено </w:t>
            </w:r>
            <w:hyperlink r:id="rId1122" w:history="1">
              <w:r>
                <w:rPr>
                  <w:rFonts w:ascii="Arial" w:hAnsi="Arial" w:cs="Arial"/>
                  <w:color w:val="0000FF"/>
                  <w:sz w:val="20"/>
                  <w:szCs w:val="20"/>
                </w:rPr>
                <w:t>Постановлением</w:t>
              </w:r>
            </w:hyperlink>
            <w:r>
              <w:rPr>
                <w:rFonts w:ascii="Arial" w:hAnsi="Arial" w:cs="Arial"/>
                <w:color w:val="392C69"/>
                <w:sz w:val="20"/>
                <w:szCs w:val="20"/>
              </w:rPr>
              <w:t xml:space="preserve"> Правительства РФ от 17.05.2016 N 433)</w:t>
            </w:r>
          </w:p>
        </w:tc>
      </w:tr>
    </w:tbl>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bookmarkStart w:id="258" w:name="Par2701"/>
      <w:bookmarkEnd w:id="258"/>
      <w:r>
        <w:rPr>
          <w:rFonts w:ascii="Courier New" w:eastAsiaTheme="minorHAnsi" w:hAnsi="Courier New" w:cs="Courier New"/>
          <w:b w:val="0"/>
          <w:bCs w:val="0"/>
          <w:color w:val="auto"/>
          <w:sz w:val="20"/>
          <w:szCs w:val="20"/>
        </w:rPr>
        <w:t xml:space="preserve">                                   ФОРМА</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публикации значений конечных регулируемых цен</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на электрическую энергию (мощность) и составляющих конечных</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регулируемых цен на электрическую энергию (мощность)</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Предельные уровни регулируемых цен на электрическую энергию (мощность),</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поставляемую потребителям (покупателям) ___________________________________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(наименование гарантирующего</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поставщика (энергосбытовой,</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энергоснабжающей организации)</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в _____________ _____ г.</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(месяц)    (год)</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I. Первая ценовая категория</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(для объемов покупки электрической энергии (мощности), учет</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которых осуществляется в целом за расчетный период)</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1. Конечная регулируемая цена</w:t>
      </w:r>
    </w:p>
    <w:p w:rsidR="009F5AFE" w:rsidRDefault="009F5AFE" w:rsidP="009F5AFE">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9"/>
        <w:gridCol w:w="850"/>
        <w:gridCol w:w="850"/>
        <w:gridCol w:w="850"/>
        <w:gridCol w:w="850"/>
      </w:tblGrid>
      <w:tr w:rsidR="009F5AFE">
        <w:tc>
          <w:tcPr>
            <w:tcW w:w="5669" w:type="dxa"/>
            <w:vMerge w:val="restart"/>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3400" w:type="dxa"/>
            <w:gridSpan w:val="4"/>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Уровень напряжения</w:t>
            </w:r>
          </w:p>
        </w:tc>
      </w:tr>
      <w:tr w:rsidR="009F5AFE">
        <w:tc>
          <w:tcPr>
            <w:tcW w:w="5669" w:type="dxa"/>
            <w:vMerge/>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ВН</w:t>
            </w: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СН I</w:t>
            </w: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СН II</w:t>
            </w: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НН</w:t>
            </w:r>
          </w:p>
        </w:tc>
      </w:tr>
      <w:tr w:rsidR="009F5AFE">
        <w:tc>
          <w:tcPr>
            <w:tcW w:w="5669"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r>
      <w:tr w:rsidR="009F5AFE">
        <w:tc>
          <w:tcPr>
            <w:tcW w:w="5669"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r>
      <w:tr w:rsidR="009F5AFE">
        <w:tc>
          <w:tcPr>
            <w:tcW w:w="5669"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Конечная регулируемая цена (рублей/МВт·ч, без НДС)</w:t>
            </w: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r>
    </w:tbl>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2.   Средневзвешенная   регулируемая   цена  на  электрическую  энергию</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(мощность),  используемая  для расчета конечных регулируемых цен для первой</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ценовой категории (рублей/МВт·ч, без НДС) ___________________.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3.   Составляющие   расчета   средневзвешенной   регулируемой  цены  на</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электрическую   энергию   (мощность),  используемой  для  расчета  конечных</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регулируемых цен для первой ценовой категории:</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а)  средневзвешенная  регулируемая  цена  на  электрическую  энергию на</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оптовом рынке (рублей/МВт·ч) _______________;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б)  средневзвешенная  регулируемая  цена  на  мощность на оптовом рынке</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(рублей/МВт) _______________;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в)    коэффициент   оплаты   мощности   потребителями   (покупателями),</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осуществляющими    расчеты    по    первой    ценовой   категории   (1/час)</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г)  объем  фактического  пикового потребления гарантирующего поставщика</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(энергосбытовой,  энергоснабжающей  организации)  на  оптовом  рынке  (МВт)</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д)   сумма   величин   мощности,   оплачиваемой   на   розничном  рынке</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lastRenderedPageBreak/>
        <w:t>потребителями  (покупателями),  осуществляющими  расчеты по второй - шестой</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ценовым категориям (МВт) _______________, в том числе:</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 второй ценовой категории (МВт) _______________;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 третьей ценовой категории (МВт) _______________;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 четвертой ценовой категории (МВт) _______________;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 пятой ценовой категории (МВт) _______________;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 шестой ценовой категории (МВт) _______________;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е)  объем  потребления  мощности  населением  и  приравненными  к  нему</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категориями потребителей (МВт) _______________;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ж)  фактический  объем  потребления электрической энергии гарантирующим</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поставщиком  (энергосбытовой,  энергоснабжающей  организацией)  на  оптовом</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рынке (МВт·ч) _______________;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з)   сумма  объемов  потребления  электрической  энергии  потребителями</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(покупателями),   осуществляющими   расчеты  по  второй  -  шестой  ценовым</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категориям (МВт·ч) _______________, в том числе:</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 второй ценовой категории (МВт·ч) _______________;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 третьей ценовой категории (МВт·ч) _______________;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 четвертой ценовой категории (МВт·ч) _______________;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 пятой ценовой категории (МВт·ч) _______________;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 шестой ценовой категории (МВт·ч) _______________;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и) объем потребления электрической энергии населением и приравненными к</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нему категориями потребителей (МВт·ч) _______________;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к)   величина   изменения   средневзвешенной   регулируемой   цены   на</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электрическую энергию (мощность), связанная с учетом  данных за  предыдущие</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расчетные периоды (рублей/МВт·ч) </w:t>
      </w:r>
      <w:hyperlink w:anchor="Par3569" w:history="1">
        <w:r>
          <w:rPr>
            <w:rFonts w:ascii="Courier New" w:eastAsiaTheme="minorHAnsi" w:hAnsi="Courier New" w:cs="Courier New"/>
            <w:b w:val="0"/>
            <w:bCs w:val="0"/>
            <w:color w:val="0000FF"/>
            <w:sz w:val="20"/>
            <w:szCs w:val="20"/>
          </w:rPr>
          <w:t>&lt;1</w:t>
        </w:r>
      </w:hyperlink>
      <w:r>
        <w:rPr>
          <w:rFonts w:ascii="Courier New" w:eastAsiaTheme="minorHAnsi" w:hAnsi="Courier New" w:cs="Courier New"/>
          <w:b w:val="0"/>
          <w:bCs w:val="0"/>
          <w:color w:val="auto"/>
          <w:sz w:val="20"/>
          <w:szCs w:val="20"/>
        </w:rPr>
        <w:t>&gt; _______________;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л)  сумма  объемов  мощности  за  расчетный  период  (m) производителей</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электрической  энергии на розничном рынке, учтенных в прогнозном балансе на</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период регулирования, по договорам купли-продажи  (поставки)  электрической</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энергии (мощности), заключенным с соответствующим гарантирующим поставщиком</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(МВт) _______________;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м)   сумма  объемов  электрической  энергии  за  расчетный  период  (m)</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производителей   электрической  энергии  на  розничном  рынке,  учтенных  в</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прогнозном  балансе  на  период  регулирования,  по договорам купли-продажи</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(поставки)  электрической энергии (мощности), заключенным с соответствующим</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гарантирующим поставщиком (МВт·ч) _______________.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II. Вторая ценовая категория</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(для объемов покупки электрической энергии (мощности), учет</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которых осуществляется по зонам суток расчетного периода)</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1.  Предельный  уровень регулируемых цен для 3 зон суток (рублей/МВт·ч,</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без НДС)</w:t>
      </w:r>
    </w:p>
    <w:p w:rsidR="009F5AFE" w:rsidRDefault="009F5AFE" w:rsidP="009F5AFE">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9"/>
        <w:gridCol w:w="850"/>
        <w:gridCol w:w="850"/>
        <w:gridCol w:w="850"/>
        <w:gridCol w:w="850"/>
      </w:tblGrid>
      <w:tr w:rsidR="009F5AFE">
        <w:tc>
          <w:tcPr>
            <w:tcW w:w="5669"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Зоны суток</w:t>
            </w:r>
          </w:p>
        </w:tc>
        <w:tc>
          <w:tcPr>
            <w:tcW w:w="3400" w:type="dxa"/>
            <w:gridSpan w:val="4"/>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Уровень напряжения</w:t>
            </w:r>
          </w:p>
        </w:tc>
      </w:tr>
      <w:tr w:rsidR="009F5AFE">
        <w:tc>
          <w:tcPr>
            <w:tcW w:w="5669"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ВН</w:t>
            </w: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СН I</w:t>
            </w: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СН II</w:t>
            </w: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НН</w:t>
            </w:r>
          </w:p>
        </w:tc>
      </w:tr>
      <w:tr w:rsidR="009F5AFE">
        <w:tc>
          <w:tcPr>
            <w:tcW w:w="5669"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r>
      <w:tr w:rsidR="009F5AFE">
        <w:tc>
          <w:tcPr>
            <w:tcW w:w="5669"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Ночная</w:t>
            </w: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r>
      <w:tr w:rsidR="009F5AFE">
        <w:tc>
          <w:tcPr>
            <w:tcW w:w="5669"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Полупиковая</w:t>
            </w: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r>
      <w:tr w:rsidR="009F5AFE">
        <w:tc>
          <w:tcPr>
            <w:tcW w:w="5669"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Пиковая</w:t>
            </w: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r>
    </w:tbl>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2.  Предельный  уровень регулируемых цен для 2 зон суток (рублей/МВт·ч,</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без НДС)</w:t>
      </w:r>
    </w:p>
    <w:p w:rsidR="009F5AFE" w:rsidRDefault="009F5AFE" w:rsidP="009F5AFE">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9"/>
        <w:gridCol w:w="850"/>
        <w:gridCol w:w="850"/>
        <w:gridCol w:w="850"/>
        <w:gridCol w:w="850"/>
      </w:tblGrid>
      <w:tr w:rsidR="009F5AFE">
        <w:tc>
          <w:tcPr>
            <w:tcW w:w="5669"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Зоны суток</w:t>
            </w:r>
          </w:p>
        </w:tc>
        <w:tc>
          <w:tcPr>
            <w:tcW w:w="3400" w:type="dxa"/>
            <w:gridSpan w:val="4"/>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Уровень напряжения</w:t>
            </w:r>
          </w:p>
        </w:tc>
      </w:tr>
      <w:tr w:rsidR="009F5AFE">
        <w:tc>
          <w:tcPr>
            <w:tcW w:w="5669"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ВН</w:t>
            </w: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СН I</w:t>
            </w: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СН II</w:t>
            </w: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НН</w:t>
            </w:r>
          </w:p>
        </w:tc>
      </w:tr>
      <w:tr w:rsidR="009F5AFE">
        <w:tc>
          <w:tcPr>
            <w:tcW w:w="5669"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r>
      <w:tr w:rsidR="009F5AFE">
        <w:tc>
          <w:tcPr>
            <w:tcW w:w="5669"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Ночная</w:t>
            </w: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r>
      <w:tr w:rsidR="009F5AFE">
        <w:tc>
          <w:tcPr>
            <w:tcW w:w="5669"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Дневная</w:t>
            </w: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r>
    </w:tbl>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III. Третья ценовая категория</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(для объемов покупки электрической энергии (мощности),</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в отношении которых за расчетный период осуществляется почасовой</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учет, но не осуществляется почасовое планирование, а стоимость услуг</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 передаче электрической энергии определяется по тарифу на услуги</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 передаче электрической энергии в одноставочном выражении)</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1.   Ставка   за   электрическую   энергию  конечных  регулируемых  цен</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(рублей/МВт·ч, без НДС)</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both"/>
        <w:rPr>
          <w:rFonts w:ascii="Arial" w:hAnsi="Arial" w:cs="Arial"/>
          <w:sz w:val="20"/>
          <w:szCs w:val="20"/>
        </w:rPr>
        <w:sectPr w:rsidR="009F5AFE">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9F5AFE">
        <w:tc>
          <w:tcPr>
            <w:tcW w:w="720" w:type="dxa"/>
            <w:vMerge w:val="restart"/>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Дата</w:t>
            </w:r>
          </w:p>
        </w:tc>
        <w:tc>
          <w:tcPr>
            <w:tcW w:w="19801" w:type="dxa"/>
            <w:gridSpan w:val="24"/>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Ставка для фактических почасовых объемов покупки электрической энергии, отпущенных на уровне напряжения ______ </w:t>
            </w:r>
            <w:hyperlink w:anchor="Par3570" w:history="1">
              <w:r>
                <w:rPr>
                  <w:rFonts w:ascii="Arial" w:hAnsi="Arial" w:cs="Arial"/>
                  <w:color w:val="0000FF"/>
                  <w:sz w:val="20"/>
                  <w:szCs w:val="20"/>
                </w:rPr>
                <w:t>&lt;2&gt;</w:t>
              </w:r>
            </w:hyperlink>
          </w:p>
        </w:tc>
      </w:tr>
      <w:tr w:rsidR="009F5AFE">
        <w:tc>
          <w:tcPr>
            <w:tcW w:w="720" w:type="dxa"/>
            <w:vMerge/>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0:00 - 1:00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1:00 - 2:00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2:00 - 3:00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3:00 - 4:00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4:00 - 5:00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5:00 - 6:00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6:00 - 7:00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7:00 - 8:00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8:00 - 9:00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9:00 - 10:00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10:00 - 11:00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11:00 - 12:00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12:00 - 13:00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13:00 - 14:00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14:00 - 15:00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15:00 - 16:00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16:00 - 17:00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17:00 - 18:00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18:00 - 19:00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19:00 - 20:00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20:00 - 21:00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21:00 - 22:00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22:00 - 23:00</w:t>
            </w:r>
          </w:p>
        </w:tc>
        <w:tc>
          <w:tcPr>
            <w:tcW w:w="907"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23:00 - 0:00</w:t>
            </w:r>
          </w:p>
        </w:tc>
      </w:tr>
      <w:tr w:rsidR="009F5AFE">
        <w:tc>
          <w:tcPr>
            <w:tcW w:w="720" w:type="dxa"/>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r>
      <w:tr w:rsidR="009F5AFE">
        <w:tc>
          <w:tcPr>
            <w:tcW w:w="720" w:type="dxa"/>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r>
    </w:tbl>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2.   Ставка  за  мощность,  приобретаемую  потребителем  (покупателем),</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конечной регулируемой цены (рублей/МВт, без НДС) ____________.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IV. Четвертая ценовая категория</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(для объемов покупки электрической энергии (мощности),</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в отношении которых за расчетный период осуществляется почасовой</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учет, но не осуществляется почасовое планирование, а стоимость услуг</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 передаче электрической энергии определяется по тарифу на услуги</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 передаче электрической энергии в двухставочном выражении)</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1.  Ставка за электрическую энергию предельного уровня регулируемых цен</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(рублей/МВт·ч, без НДС)</w:t>
      </w:r>
    </w:p>
    <w:p w:rsidR="009F5AFE" w:rsidRDefault="009F5AFE" w:rsidP="009F5AFE">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9F5AFE">
        <w:tc>
          <w:tcPr>
            <w:tcW w:w="720" w:type="dxa"/>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Дата</w:t>
            </w:r>
          </w:p>
        </w:tc>
        <w:tc>
          <w:tcPr>
            <w:tcW w:w="19801" w:type="dxa"/>
            <w:gridSpan w:val="24"/>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Ставка для фактических почасовых объемов покупки электрической энергии, отпущенных на уровне напряжения ___________ </w:t>
            </w:r>
            <w:hyperlink w:anchor="Par3570" w:history="1">
              <w:r>
                <w:rPr>
                  <w:rFonts w:ascii="Arial" w:hAnsi="Arial" w:cs="Arial"/>
                  <w:color w:val="0000FF"/>
                  <w:sz w:val="20"/>
                  <w:szCs w:val="20"/>
                </w:rPr>
                <w:t>&lt;2&gt;</w:t>
              </w:r>
            </w:hyperlink>
          </w:p>
        </w:tc>
      </w:tr>
      <w:tr w:rsidR="009F5AFE">
        <w:tc>
          <w:tcPr>
            <w:tcW w:w="720" w:type="dxa"/>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0:00 - 1:00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1:00 - 2:00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2:00 - 3:00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3:00 - 4:00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4:00 - 5:00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5:00 - 6:00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6:00 - 7:00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7:00 - 8:00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8:00 - 9:00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9:00 - 10:00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10:00 - 11:00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11:00 - 12:00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12:00 - 13:00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13:00 - 14:00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14:00 - 15:00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15:00 - 16:00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16:00 - 17:00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17:00 - 18:00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18:00 - 19:00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19:00 - 20:00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20:00 - 21:00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21:00 - 22:00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22:00 - 23:00</w:t>
            </w:r>
          </w:p>
        </w:tc>
        <w:tc>
          <w:tcPr>
            <w:tcW w:w="907"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23:00 - 0:00</w:t>
            </w:r>
          </w:p>
        </w:tc>
      </w:tr>
      <w:tr w:rsidR="009F5AFE">
        <w:tc>
          <w:tcPr>
            <w:tcW w:w="720" w:type="dxa"/>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r>
      <w:tr w:rsidR="009F5AFE">
        <w:tc>
          <w:tcPr>
            <w:tcW w:w="720" w:type="dxa"/>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r>
    </w:tbl>
    <w:p w:rsidR="009F5AFE" w:rsidRDefault="009F5AFE" w:rsidP="009F5AFE">
      <w:pPr>
        <w:autoSpaceDE w:val="0"/>
        <w:autoSpaceDN w:val="0"/>
        <w:adjustRightInd w:val="0"/>
        <w:spacing w:after="0" w:line="240" w:lineRule="auto"/>
        <w:jc w:val="both"/>
        <w:rPr>
          <w:rFonts w:ascii="Arial" w:hAnsi="Arial" w:cs="Arial"/>
          <w:sz w:val="20"/>
          <w:szCs w:val="20"/>
        </w:rPr>
        <w:sectPr w:rsidR="009F5AFE">
          <w:pgSz w:w="16838" w:h="11906" w:orient="landscape"/>
          <w:pgMar w:top="1133" w:right="1440" w:bottom="566" w:left="1440" w:header="0" w:footer="0" w:gutter="0"/>
          <w:cols w:space="720"/>
          <w:noEndnote/>
        </w:sectPr>
      </w:pP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2.   Ставка  за  мощность,  приобретаемую  потребителем  (покупателем),</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конечной регулируемой цены (рублей/МВт, без НДС) ____________.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3.  Дифференцированная по уровням напряжения ставка тарифа на услуги по</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передаче  электрической  энергии,  отражающая удельную величину расходов на</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содержание электрических сетей, конечной регулируемой цены (рублей/МВт, без</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НДС)</w:t>
      </w:r>
    </w:p>
    <w:p w:rsidR="009F5AFE" w:rsidRDefault="009F5AFE" w:rsidP="009F5AFE">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9"/>
        <w:gridCol w:w="850"/>
        <w:gridCol w:w="850"/>
        <w:gridCol w:w="850"/>
        <w:gridCol w:w="850"/>
      </w:tblGrid>
      <w:tr w:rsidR="009F5AFE">
        <w:tc>
          <w:tcPr>
            <w:tcW w:w="5669" w:type="dxa"/>
            <w:vMerge w:val="restart"/>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3400" w:type="dxa"/>
            <w:gridSpan w:val="4"/>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Уровень напряжения</w:t>
            </w:r>
          </w:p>
        </w:tc>
      </w:tr>
      <w:tr w:rsidR="009F5AFE">
        <w:tc>
          <w:tcPr>
            <w:tcW w:w="5669" w:type="dxa"/>
            <w:vMerge/>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ВН</w:t>
            </w: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СН I</w:t>
            </w: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СН II</w:t>
            </w:r>
          </w:p>
        </w:tc>
        <w:tc>
          <w:tcPr>
            <w:tcW w:w="850"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НН</w:t>
            </w:r>
          </w:p>
        </w:tc>
      </w:tr>
      <w:tr w:rsidR="009F5AFE">
        <w:tc>
          <w:tcPr>
            <w:tcW w:w="5669" w:type="dxa"/>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Ставка тарифа на услуги по передаче электрической энергии, отражающая удельную величину расходов на содержание электрических сетей</w:t>
            </w: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50"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r>
    </w:tbl>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V. Пятая ценовая категория</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(для объемов покупки электрической энергии (мощности),</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в отношении которых за расчетный период осуществляются почасовое</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планирование и учет, а стоимость услуг по передаче электрической</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энергии определяется по тарифу на услуги по передаче электрической</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энергии в одноставочном выражении)</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1.   Ставка   за   электрическую  энергию  конечной  регулируемой  цены</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(рублей/МВт·ч, без НДС)</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both"/>
        <w:rPr>
          <w:rFonts w:ascii="Arial" w:hAnsi="Arial" w:cs="Arial"/>
          <w:sz w:val="20"/>
          <w:szCs w:val="20"/>
        </w:rPr>
        <w:sectPr w:rsidR="009F5AFE">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9F5AFE">
        <w:tc>
          <w:tcPr>
            <w:tcW w:w="720" w:type="dxa"/>
            <w:vMerge w:val="restart"/>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Дата</w:t>
            </w:r>
          </w:p>
        </w:tc>
        <w:tc>
          <w:tcPr>
            <w:tcW w:w="19801" w:type="dxa"/>
            <w:gridSpan w:val="24"/>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Ставка для фактических почасовых объемов покупки электрической энергии, отпущенных на уровне напряжения _________ </w:t>
            </w:r>
            <w:hyperlink w:anchor="Par3570" w:history="1">
              <w:r>
                <w:rPr>
                  <w:rFonts w:ascii="Arial" w:hAnsi="Arial" w:cs="Arial"/>
                  <w:color w:val="0000FF"/>
                  <w:sz w:val="20"/>
                  <w:szCs w:val="20"/>
                </w:rPr>
                <w:t>&lt;2&gt;</w:t>
              </w:r>
            </w:hyperlink>
          </w:p>
        </w:tc>
      </w:tr>
      <w:tr w:rsidR="009F5AFE">
        <w:tc>
          <w:tcPr>
            <w:tcW w:w="720" w:type="dxa"/>
            <w:vMerge/>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0:00 - 1:00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1:00 - 2:00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2:00 - 3:00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3:00 - 4:00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4:00 - 5:00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5:00 - 6:00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6:00 - 7:00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7:00 - 8:00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8:00 - 9:00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9:00 - 10:00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10:00 - 11:00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11:00 - 12:00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12:00 - 13:00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13:00 - 14:00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14:00 - 15:00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15:00 - 16:00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16:00 - 17:00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17:00 - 18:00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18:00 - 19:00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19:00 - 20:00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20:00 - 21:00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21:00 - 22:00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22:00 - 23:00</w:t>
            </w:r>
          </w:p>
        </w:tc>
        <w:tc>
          <w:tcPr>
            <w:tcW w:w="907"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23:00 - 0:00</w:t>
            </w:r>
          </w:p>
        </w:tc>
      </w:tr>
      <w:tr w:rsidR="009F5AFE">
        <w:tc>
          <w:tcPr>
            <w:tcW w:w="720" w:type="dxa"/>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r>
      <w:tr w:rsidR="009F5AFE">
        <w:tc>
          <w:tcPr>
            <w:tcW w:w="720" w:type="dxa"/>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r>
    </w:tbl>
    <w:p w:rsidR="009F5AFE" w:rsidRDefault="009F5AFE" w:rsidP="009F5AFE">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9F5AFE">
        <w:tc>
          <w:tcPr>
            <w:tcW w:w="720" w:type="dxa"/>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Дата</w:t>
            </w:r>
          </w:p>
        </w:tc>
        <w:tc>
          <w:tcPr>
            <w:tcW w:w="19801" w:type="dxa"/>
            <w:gridSpan w:val="24"/>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Ставка для превышения фактического почасового объема покупки электрической энергии над соответствующим плановым почасовым объемом</w:t>
            </w:r>
          </w:p>
        </w:tc>
      </w:tr>
      <w:tr w:rsidR="009F5AFE">
        <w:tc>
          <w:tcPr>
            <w:tcW w:w="720" w:type="dxa"/>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0:00 - 1:00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1:00 - 2:00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2:00 - 3:00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3:00 - 4:00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4:00 - 5:00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5:00 - 6:00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6:00 - 7:00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7:00 - 8:00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8:00 - 9:00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9:00 - 10:00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10:00 - 11:00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11:00 - 12:00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12:00 - 13:00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13:00 - 14:00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14:00 - 15:00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15:00 - 16:00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16:00 - 17:00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17:00 - 18:00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18:00 - 19:00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19:00 - 20:00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20:00 - 21:00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21:00 - 22:00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22:00 - 23:00</w:t>
            </w:r>
          </w:p>
        </w:tc>
        <w:tc>
          <w:tcPr>
            <w:tcW w:w="907"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23:00 - 0:00</w:t>
            </w:r>
          </w:p>
        </w:tc>
      </w:tr>
      <w:tr w:rsidR="009F5AFE">
        <w:tc>
          <w:tcPr>
            <w:tcW w:w="720" w:type="dxa"/>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r>
      <w:tr w:rsidR="009F5AFE">
        <w:tc>
          <w:tcPr>
            <w:tcW w:w="720" w:type="dxa"/>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r>
    </w:tbl>
    <w:p w:rsidR="009F5AFE" w:rsidRDefault="009F5AFE" w:rsidP="009F5AFE">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9F5AFE">
        <w:tc>
          <w:tcPr>
            <w:tcW w:w="720" w:type="dxa"/>
            <w:vMerge w:val="restart"/>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Дата</w:t>
            </w:r>
          </w:p>
        </w:tc>
        <w:tc>
          <w:tcPr>
            <w:tcW w:w="19801" w:type="dxa"/>
            <w:gridSpan w:val="24"/>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Ставка для превышения планового почасового объема покупки электрической энергии над соответствующим фактическим почасовым объемом</w:t>
            </w:r>
          </w:p>
        </w:tc>
      </w:tr>
      <w:tr w:rsidR="009F5AFE">
        <w:tc>
          <w:tcPr>
            <w:tcW w:w="720" w:type="dxa"/>
            <w:vMerge/>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0:00 - 1:00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1:00 - 2:00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2:00 - 3:00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3:00 - 4:00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4:00 - 5:00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5:00 - 6:00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6:00 - 7:00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7:00 - 8:00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8:00 - 9:00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9:00 - 10:00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10:00 - 11:00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11:00 - 12:00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12:00 - 13:00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13:00 - 14:00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14:00 - 15:00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15:00 - 16:00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16:00 - 17:00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17:00 - 18:00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18:00 - 19:00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19:00 - 20:00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20:00 - 21:00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21:00 - 22:00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22:00 - 23:00</w:t>
            </w:r>
          </w:p>
        </w:tc>
        <w:tc>
          <w:tcPr>
            <w:tcW w:w="907"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23:00 - 0:00</w:t>
            </w:r>
          </w:p>
        </w:tc>
      </w:tr>
      <w:tr w:rsidR="009F5AFE">
        <w:tc>
          <w:tcPr>
            <w:tcW w:w="720" w:type="dxa"/>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r>
      <w:tr w:rsidR="009F5AFE">
        <w:tc>
          <w:tcPr>
            <w:tcW w:w="720" w:type="dxa"/>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r>
    </w:tbl>
    <w:p w:rsidR="009F5AFE" w:rsidRDefault="009F5AFE" w:rsidP="009F5AFE">
      <w:pPr>
        <w:autoSpaceDE w:val="0"/>
        <w:autoSpaceDN w:val="0"/>
        <w:adjustRightInd w:val="0"/>
        <w:spacing w:after="0" w:line="240" w:lineRule="auto"/>
        <w:jc w:val="both"/>
        <w:rPr>
          <w:rFonts w:ascii="Arial" w:hAnsi="Arial" w:cs="Arial"/>
          <w:sz w:val="20"/>
          <w:szCs w:val="20"/>
        </w:rPr>
        <w:sectPr w:rsidR="009F5AFE">
          <w:pgSz w:w="16838" w:h="11906" w:orient="landscape"/>
          <w:pgMar w:top="1133" w:right="1440" w:bottom="566" w:left="1440" w:header="0" w:footer="0" w:gutter="0"/>
          <w:cols w:space="720"/>
          <w:noEndnote/>
        </w:sectPr>
      </w:pPr>
    </w:p>
    <w:p w:rsidR="009F5AFE" w:rsidRDefault="009F5AFE" w:rsidP="009F5AFE">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0"/>
        <w:gridCol w:w="1700"/>
      </w:tblGrid>
      <w:tr w:rsidR="009F5AFE">
        <w:tc>
          <w:tcPr>
            <w:tcW w:w="737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Ставка для суммы плановых почасовых объемов покупки электрической энергии за расчетный период (рублей/МВт·ч, без НДС)</w:t>
            </w:r>
          </w:p>
        </w:tc>
        <w:tc>
          <w:tcPr>
            <w:tcW w:w="170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r>
      <w:tr w:rsidR="009F5AFE">
        <w:tc>
          <w:tcPr>
            <w:tcW w:w="737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170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r>
    </w:tbl>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2.   Ставка  за  мощность,  приобретаемую  потребителем  (покупателем),</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конечной регулируемой цены (рублей/МВт, без НДС) ______________.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VI. Шестая ценовая категория</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(для объемов покупки электрической энергии (мощности),</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в отношении которых за расчетный период осуществляются почасовое</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планирование и учет, а стоимость услуг по передаче электрической</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энергии определяется по тарифу на услуги по передаче</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электрической энергии в двухставочном выражении)</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1.   Ставка   за   электрическую  энергию  конечной  регулируемой  цены</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(рублей/МВт·ч, без НДС)</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both"/>
        <w:rPr>
          <w:rFonts w:ascii="Arial" w:hAnsi="Arial" w:cs="Arial"/>
          <w:sz w:val="20"/>
          <w:szCs w:val="20"/>
        </w:rPr>
        <w:sectPr w:rsidR="009F5AFE">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9F5AFE">
        <w:tc>
          <w:tcPr>
            <w:tcW w:w="720" w:type="dxa"/>
            <w:vMerge w:val="restart"/>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Дата</w:t>
            </w:r>
          </w:p>
        </w:tc>
        <w:tc>
          <w:tcPr>
            <w:tcW w:w="19801" w:type="dxa"/>
            <w:gridSpan w:val="24"/>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Ставка для фактических почасовых объемов покупки электрической энергии, отпущенных на уровне напряжения _________ </w:t>
            </w:r>
            <w:hyperlink w:anchor="Par3570" w:history="1">
              <w:r>
                <w:rPr>
                  <w:rFonts w:ascii="Arial" w:hAnsi="Arial" w:cs="Arial"/>
                  <w:color w:val="0000FF"/>
                  <w:sz w:val="20"/>
                  <w:szCs w:val="20"/>
                </w:rPr>
                <w:t>&lt;2&gt;</w:t>
              </w:r>
            </w:hyperlink>
          </w:p>
        </w:tc>
      </w:tr>
      <w:tr w:rsidR="009F5AFE">
        <w:tc>
          <w:tcPr>
            <w:tcW w:w="720" w:type="dxa"/>
            <w:vMerge/>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0:00 - 1:00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1:00 - 2:00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2:00 - 3:00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3:00 - 4:00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4:00 - 5:00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5:00 - 6:00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6:00 - 7:00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7:00 - 8:00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8:00 - 9:00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9:00 - 10:00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10:00 - 11:00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11:00 - 12:00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12:00 - 13:00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13:00 - 14:00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14:00 - 15:00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15:00 - 16:00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16:00 - 17:00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17:00 - 18:00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18:00 - 19:00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19:00 - 20:00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20:00 - 21:00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21:00 - 22:00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22:00 - 23:00</w:t>
            </w:r>
          </w:p>
        </w:tc>
        <w:tc>
          <w:tcPr>
            <w:tcW w:w="907"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23:00 - 0:00</w:t>
            </w:r>
          </w:p>
        </w:tc>
      </w:tr>
      <w:tr w:rsidR="009F5AFE">
        <w:tc>
          <w:tcPr>
            <w:tcW w:w="720" w:type="dxa"/>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r>
      <w:tr w:rsidR="009F5AFE">
        <w:tc>
          <w:tcPr>
            <w:tcW w:w="720" w:type="dxa"/>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r>
    </w:tbl>
    <w:p w:rsidR="009F5AFE" w:rsidRDefault="009F5AFE" w:rsidP="009F5AFE">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9F5AFE">
        <w:tc>
          <w:tcPr>
            <w:tcW w:w="720" w:type="dxa"/>
            <w:vMerge w:val="restart"/>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Дата</w:t>
            </w:r>
          </w:p>
        </w:tc>
        <w:tc>
          <w:tcPr>
            <w:tcW w:w="19801" w:type="dxa"/>
            <w:gridSpan w:val="24"/>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Ставка для превышения фактического почасового объема покупки электрической энергии над соответствующим плановым почасовым объемом</w:t>
            </w:r>
          </w:p>
        </w:tc>
      </w:tr>
      <w:tr w:rsidR="009F5AFE">
        <w:tc>
          <w:tcPr>
            <w:tcW w:w="720" w:type="dxa"/>
            <w:vMerge/>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0:00 - 1:00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1:00 - 2:00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2:00 - 3:00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3:00 - 4:00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4:00 - 5:00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5:00 - 6:00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6:00 - 7:00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7:00 - 8:00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8:00 - 9:00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9:00 - 10:00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10:00 - 11:00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11:00 - 12:00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12:00 - 13:00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13:00 - 14:00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14:00 - 15:00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15:00 - 16:00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16:00 - 17:00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17:00 - 18:00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18:00 - 19:00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19:00 - 20:00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20:00 - 21:00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21:00 - 22:00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22:00 - 23:00</w:t>
            </w:r>
          </w:p>
        </w:tc>
        <w:tc>
          <w:tcPr>
            <w:tcW w:w="907"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23:00 - 0:00</w:t>
            </w:r>
          </w:p>
        </w:tc>
      </w:tr>
      <w:tr w:rsidR="009F5AFE">
        <w:tc>
          <w:tcPr>
            <w:tcW w:w="720" w:type="dxa"/>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r>
      <w:tr w:rsidR="009F5AFE">
        <w:tc>
          <w:tcPr>
            <w:tcW w:w="720" w:type="dxa"/>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r>
    </w:tbl>
    <w:p w:rsidR="009F5AFE" w:rsidRDefault="009F5AFE" w:rsidP="009F5AFE">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9F5AFE">
        <w:tc>
          <w:tcPr>
            <w:tcW w:w="720" w:type="dxa"/>
            <w:vMerge w:val="restart"/>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Дата</w:t>
            </w:r>
          </w:p>
        </w:tc>
        <w:tc>
          <w:tcPr>
            <w:tcW w:w="19801" w:type="dxa"/>
            <w:gridSpan w:val="24"/>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Ставка для превышения планового почасового объема покупки электрической энергии над соответствующим фактическим почасовым объемом</w:t>
            </w:r>
          </w:p>
        </w:tc>
      </w:tr>
      <w:tr w:rsidR="009F5AFE">
        <w:tc>
          <w:tcPr>
            <w:tcW w:w="720" w:type="dxa"/>
            <w:vMerge/>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0:00 - 1:00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1:00 - 2:00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2:00 - 3:00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3:00 - 4:00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4:00 - 5:00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5:00 - 6:00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6:00 - 7:00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7:00 - 8:00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8:00 - 9:00</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9:00 - 10:00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10:00 - 11:00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11:00 - 12:00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12:00 - 13:00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13:00 - 14:00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14:00 - 15:00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15:00 - 16:00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16:00 - 17:00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17:00 - 18:00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18:00 - 19:00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19:00 - 20:00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20:00 - 21:00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21:00 - 22:00</w:t>
            </w: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22:00 - 23:00</w:t>
            </w:r>
          </w:p>
        </w:tc>
        <w:tc>
          <w:tcPr>
            <w:tcW w:w="907"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23:00 - 0:00</w:t>
            </w:r>
          </w:p>
        </w:tc>
      </w:tr>
      <w:tr w:rsidR="009F5AFE">
        <w:tc>
          <w:tcPr>
            <w:tcW w:w="720" w:type="dxa"/>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r>
      <w:tr w:rsidR="009F5AFE">
        <w:tc>
          <w:tcPr>
            <w:tcW w:w="720" w:type="dxa"/>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74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78"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907"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r>
    </w:tbl>
    <w:p w:rsidR="009F5AFE" w:rsidRDefault="009F5AFE" w:rsidP="009F5AFE">
      <w:pPr>
        <w:autoSpaceDE w:val="0"/>
        <w:autoSpaceDN w:val="0"/>
        <w:adjustRightInd w:val="0"/>
        <w:spacing w:after="0" w:line="240" w:lineRule="auto"/>
        <w:jc w:val="both"/>
        <w:rPr>
          <w:rFonts w:ascii="Arial" w:hAnsi="Arial" w:cs="Arial"/>
          <w:sz w:val="20"/>
          <w:szCs w:val="20"/>
        </w:rPr>
        <w:sectPr w:rsidR="009F5AFE">
          <w:pgSz w:w="16838" w:h="11906" w:orient="landscape"/>
          <w:pgMar w:top="1133" w:right="1440" w:bottom="566" w:left="1440" w:header="0" w:footer="0" w:gutter="0"/>
          <w:cols w:space="720"/>
          <w:noEndnote/>
        </w:sectPr>
      </w:pPr>
    </w:p>
    <w:p w:rsidR="009F5AFE" w:rsidRDefault="009F5AFE" w:rsidP="009F5AFE">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0"/>
        <w:gridCol w:w="1700"/>
      </w:tblGrid>
      <w:tr w:rsidR="009F5AFE">
        <w:tc>
          <w:tcPr>
            <w:tcW w:w="737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Ставка для суммы плановых почасовых объемов покупки электрической энергии за расчетный период (рублей/МВт·ч, без НДС)</w:t>
            </w:r>
          </w:p>
        </w:tc>
        <w:tc>
          <w:tcPr>
            <w:tcW w:w="170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r>
      <w:tr w:rsidR="009F5AFE">
        <w:tc>
          <w:tcPr>
            <w:tcW w:w="737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170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r>
    </w:tbl>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2.   Ставка  за  мощность,  приобретаемую  потребителем  (покупателем),</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конечной регулируемой цены (рублей/МВт, без НДС) 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3.  Дифференцированная по уровням напряжения ставка тарифа на услуги по</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передаче  электрической  энергии,  отражающая удельную величину расходов на</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содержание электрических сетей, конечной регулируемой цены (рублей/МВт, без</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НДС)</w:t>
      </w:r>
    </w:p>
    <w:p w:rsidR="009F5AFE" w:rsidRDefault="009F5AFE" w:rsidP="009F5AFE">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9"/>
        <w:gridCol w:w="850"/>
        <w:gridCol w:w="850"/>
        <w:gridCol w:w="850"/>
        <w:gridCol w:w="850"/>
      </w:tblGrid>
      <w:tr w:rsidR="009F5AFE">
        <w:tc>
          <w:tcPr>
            <w:tcW w:w="5669" w:type="dxa"/>
            <w:vMerge w:val="restart"/>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3400" w:type="dxa"/>
            <w:gridSpan w:val="4"/>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Уровень напряжения</w:t>
            </w:r>
          </w:p>
        </w:tc>
      </w:tr>
      <w:tr w:rsidR="009F5AFE">
        <w:tc>
          <w:tcPr>
            <w:tcW w:w="5669" w:type="dxa"/>
            <w:vMerge/>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ВН</w:t>
            </w: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СН I</w:t>
            </w:r>
          </w:p>
        </w:tc>
        <w:tc>
          <w:tcPr>
            <w:tcW w:w="8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СН II</w:t>
            </w:r>
          </w:p>
        </w:tc>
        <w:tc>
          <w:tcPr>
            <w:tcW w:w="850"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НН</w:t>
            </w:r>
          </w:p>
        </w:tc>
      </w:tr>
      <w:tr w:rsidR="009F5AFE">
        <w:tc>
          <w:tcPr>
            <w:tcW w:w="5669" w:type="dxa"/>
            <w:tcBorders>
              <w:top w:val="single" w:sz="4" w:space="0" w:color="auto"/>
              <w:bottom w:val="single" w:sz="4" w:space="0" w:color="auto"/>
            </w:tcBorders>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Ставка тарифа на услуги по передаче электрической энергии, отражающая удельную величину расходов на содержание электрических сетей</w:t>
            </w:r>
          </w:p>
        </w:tc>
        <w:tc>
          <w:tcPr>
            <w:tcW w:w="850" w:type="dxa"/>
            <w:tcBorders>
              <w:top w:val="single" w:sz="4" w:space="0" w:color="auto"/>
              <w:bottom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50" w:type="dxa"/>
            <w:tcBorders>
              <w:top w:val="single" w:sz="4" w:space="0" w:color="auto"/>
              <w:bottom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50" w:type="dxa"/>
            <w:tcBorders>
              <w:top w:val="single" w:sz="4" w:space="0" w:color="auto"/>
              <w:bottom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c>
          <w:tcPr>
            <w:tcW w:w="850" w:type="dxa"/>
            <w:tcBorders>
              <w:top w:val="single" w:sz="4" w:space="0" w:color="auto"/>
              <w:bottom w:val="single" w:sz="4" w:space="0" w:color="auto"/>
            </w:tcBorders>
          </w:tcPr>
          <w:p w:rsidR="009F5AFE" w:rsidRDefault="009F5AFE">
            <w:pPr>
              <w:autoSpaceDE w:val="0"/>
              <w:autoSpaceDN w:val="0"/>
              <w:adjustRightInd w:val="0"/>
              <w:spacing w:after="0" w:line="240" w:lineRule="auto"/>
              <w:rPr>
                <w:rFonts w:ascii="Arial" w:hAnsi="Arial" w:cs="Arial"/>
                <w:sz w:val="20"/>
                <w:szCs w:val="20"/>
              </w:rPr>
            </w:pPr>
          </w:p>
        </w:tc>
      </w:tr>
    </w:tbl>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59" w:name="Par3569"/>
      <w:bookmarkEnd w:id="259"/>
      <w:r>
        <w:rPr>
          <w:rFonts w:ascii="Arial" w:hAnsi="Arial" w:cs="Arial"/>
          <w:sz w:val="20"/>
          <w:szCs w:val="20"/>
        </w:rPr>
        <w:t>&lt;1&gt; В случае если величина изменения средневзвешенной регулируемой цены на электрическую энергию (мощность) не равна нулю, гарантирующий поставщик (энергосбытовая, энергоснабжающая организация) публикует также средневзвешенную регулируемую цену на электрическую энергию (мощность), используемую для расчета конечных регулируемых цен для первой ценовой категории, и составляющие расчета указанной средневзвешенной регулируемой цены на электрическую энергию (мощность) за все периоды, предшествующие рассматриваемому, в которых изменились данные, необходимые для расчета средневзвешенной регулируемой цены на электрическую энергию (мощность), по сравнению с данными, используемыми для расчета в этих периодах.</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60" w:name="Par3570"/>
      <w:bookmarkEnd w:id="260"/>
      <w:r>
        <w:rPr>
          <w:rFonts w:ascii="Arial" w:hAnsi="Arial" w:cs="Arial"/>
          <w:sz w:val="20"/>
          <w:szCs w:val="20"/>
        </w:rPr>
        <w:t>&lt;2&gt; Таблица приводится для каждого уровня напряжения (ВН, СН I, СН II, НН).</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right"/>
        <w:outlineLvl w:val="1"/>
        <w:rPr>
          <w:rFonts w:ascii="Arial" w:hAnsi="Arial" w:cs="Arial"/>
          <w:sz w:val="20"/>
          <w:szCs w:val="20"/>
        </w:rPr>
      </w:pPr>
      <w:r>
        <w:rPr>
          <w:rFonts w:ascii="Arial" w:hAnsi="Arial" w:cs="Arial"/>
          <w:sz w:val="20"/>
          <w:szCs w:val="20"/>
        </w:rPr>
        <w:t>Приложение N 3</w:t>
      </w:r>
    </w:p>
    <w:p w:rsidR="009F5AFE" w:rsidRDefault="009F5AFE" w:rsidP="009F5AF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к Основным положениям</w:t>
      </w:r>
    </w:p>
    <w:p w:rsidR="009F5AFE" w:rsidRDefault="009F5AFE" w:rsidP="009F5AF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функционирования розничных</w:t>
      </w:r>
    </w:p>
    <w:p w:rsidR="009F5AFE" w:rsidRDefault="009F5AFE" w:rsidP="009F5AF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рынков электрической энергии</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bookmarkStart w:id="261" w:name="Par3581"/>
      <w:bookmarkEnd w:id="261"/>
      <w:r>
        <w:rPr>
          <w:rFonts w:ascii="Arial" w:eastAsiaTheme="minorHAnsi" w:hAnsi="Arial" w:cs="Arial"/>
          <w:color w:val="auto"/>
          <w:sz w:val="20"/>
          <w:szCs w:val="20"/>
        </w:rPr>
        <w:t>РАСЧЕТНЫЕ СПОСОБЫ</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УЧЕТА ЭЛЕКТРИЧЕСКОЙ ЭНЕРГИИ (МОЩНОСТИ) НА РОЗНИЧНЫХ РЫНКАХ</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ЭЛЕКТРИЧЕСКОЙ ЭНЕРГИИ</w:t>
      </w:r>
    </w:p>
    <w:p w:rsidR="009F5AFE" w:rsidRDefault="009F5AFE" w:rsidP="009F5AFE">
      <w:pPr>
        <w:autoSpaceDE w:val="0"/>
        <w:autoSpaceDN w:val="0"/>
        <w:adjustRightInd w:val="0"/>
        <w:spacing w:after="0" w:line="240" w:lineRule="auto"/>
        <w:rPr>
          <w:rFonts w:ascii="Arial" w:hAnsi="Arial" w:cs="Arial"/>
          <w:sz w:val="24"/>
          <w:szCs w:val="24"/>
        </w:rPr>
      </w:pPr>
    </w:p>
    <w:tbl>
      <w:tblPr>
        <w:tblW w:w="5000" w:type="pct"/>
        <w:jc w:val="center"/>
        <w:tblLayout w:type="fixed"/>
        <w:tblCellMar>
          <w:top w:w="113" w:type="dxa"/>
          <w:left w:w="113" w:type="dxa"/>
          <w:bottom w:w="113" w:type="dxa"/>
          <w:right w:w="113" w:type="dxa"/>
        </w:tblCellMar>
        <w:tblLook w:val="0000" w:firstRow="0" w:lastRow="0" w:firstColumn="0" w:lastColumn="0" w:noHBand="0" w:noVBand="0"/>
      </w:tblPr>
      <w:tblGrid>
        <w:gridCol w:w="10433"/>
      </w:tblGrid>
      <w:tr w:rsidR="009F5AFE">
        <w:trPr>
          <w:jc w:val="center"/>
        </w:trPr>
        <w:tc>
          <w:tcPr>
            <w:tcW w:w="5000" w:type="pct"/>
            <w:tcBorders>
              <w:left w:val="single" w:sz="24" w:space="0" w:color="CED3F1"/>
              <w:right w:val="single" w:sz="24" w:space="0" w:color="F4F3F8"/>
            </w:tcBorders>
            <w:shd w:val="clear" w:color="auto" w:fill="F4F3F8"/>
          </w:tcPr>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Список изменяющих документов</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(в ред. Постановлений Правительства РФ от 23.01.2015 </w:t>
            </w:r>
            <w:hyperlink r:id="rId1123" w:history="1">
              <w:r>
                <w:rPr>
                  <w:rFonts w:ascii="Arial" w:hAnsi="Arial" w:cs="Arial"/>
                  <w:color w:val="0000FF"/>
                  <w:sz w:val="20"/>
                  <w:szCs w:val="20"/>
                </w:rPr>
                <w:t>N 47</w:t>
              </w:r>
            </w:hyperlink>
            <w:r>
              <w:rPr>
                <w:rFonts w:ascii="Arial" w:hAnsi="Arial" w:cs="Arial"/>
                <w:color w:val="392C69"/>
                <w:sz w:val="20"/>
                <w:szCs w:val="20"/>
              </w:rPr>
              <w:t>,</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24.05.2017 </w:t>
            </w:r>
            <w:hyperlink r:id="rId1124" w:history="1">
              <w:r>
                <w:rPr>
                  <w:rFonts w:ascii="Arial" w:hAnsi="Arial" w:cs="Arial"/>
                  <w:color w:val="0000FF"/>
                  <w:sz w:val="20"/>
                  <w:szCs w:val="20"/>
                </w:rPr>
                <w:t>N 624</w:t>
              </w:r>
            </w:hyperlink>
            <w:r>
              <w:rPr>
                <w:rFonts w:ascii="Arial" w:hAnsi="Arial" w:cs="Arial"/>
                <w:color w:val="392C69"/>
                <w:sz w:val="20"/>
                <w:szCs w:val="20"/>
              </w:rPr>
              <w:t xml:space="preserve">, от 18.04.2020 </w:t>
            </w:r>
            <w:hyperlink r:id="rId1125" w:history="1">
              <w:r>
                <w:rPr>
                  <w:rFonts w:ascii="Arial" w:hAnsi="Arial" w:cs="Arial"/>
                  <w:color w:val="0000FF"/>
                  <w:sz w:val="20"/>
                  <w:szCs w:val="20"/>
                </w:rPr>
                <w:t>N 554</w:t>
              </w:r>
            </w:hyperlink>
            <w:r>
              <w:rPr>
                <w:rFonts w:ascii="Arial" w:hAnsi="Arial" w:cs="Arial"/>
                <w:color w:val="392C69"/>
                <w:sz w:val="20"/>
                <w:szCs w:val="20"/>
              </w:rPr>
              <w:t>)</w:t>
            </w:r>
          </w:p>
        </w:tc>
      </w:tr>
    </w:tbl>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В случаях, предусмотренных Основными </w:t>
      </w:r>
      <w:hyperlink w:anchor="Par83" w:history="1">
        <w:r>
          <w:rPr>
            <w:rFonts w:ascii="Arial" w:hAnsi="Arial" w:cs="Arial"/>
            <w:color w:val="0000FF"/>
            <w:sz w:val="20"/>
            <w:szCs w:val="20"/>
          </w:rPr>
          <w:t>положениями</w:t>
        </w:r>
      </w:hyperlink>
      <w:r>
        <w:rPr>
          <w:rFonts w:ascii="Arial" w:hAnsi="Arial" w:cs="Arial"/>
          <w:sz w:val="20"/>
          <w:szCs w:val="20"/>
        </w:rPr>
        <w:t xml:space="preserve"> функционирования розничных рынков электрической энергии, применяются следующие расчетные способы определения объема потребления электрической энергии (мощности):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126"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18.04.2020 N 554)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62" w:name="Par3590"/>
      <w:bookmarkEnd w:id="262"/>
      <w:r>
        <w:rPr>
          <w:rFonts w:ascii="Arial" w:hAnsi="Arial" w:cs="Arial"/>
          <w:sz w:val="20"/>
          <w:szCs w:val="20"/>
        </w:rPr>
        <w:lastRenderedPageBreak/>
        <w:t>а) объем потребления электрической энергии (мощности) в соответствующей точке поставки, МВт</w:t>
      </w:r>
      <w:r>
        <w:rPr>
          <w:rFonts w:ascii="Arial" w:hAnsi="Arial" w:cs="Arial"/>
          <w:noProof/>
          <w:position w:val="1"/>
          <w:sz w:val="20"/>
          <w:szCs w:val="20"/>
          <w:lang w:eastAsia="ru-RU"/>
        </w:rPr>
        <w:drawing>
          <wp:inline distT="0" distB="0" distL="0" distR="0">
            <wp:extent cx="66675" cy="123825"/>
            <wp:effectExtent l="0" t="0" r="9525"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66675" cy="123825"/>
                    </a:xfrm>
                    <a:prstGeom prst="rect">
                      <a:avLst/>
                    </a:prstGeom>
                    <a:noFill/>
                    <a:ln>
                      <a:noFill/>
                    </a:ln>
                  </pic:spPr>
                </pic:pic>
              </a:graphicData>
            </a:graphic>
          </wp:inline>
        </w:drawing>
      </w:r>
      <w:r>
        <w:rPr>
          <w:rFonts w:ascii="Arial" w:hAnsi="Arial" w:cs="Arial"/>
          <w:sz w:val="20"/>
          <w:szCs w:val="20"/>
        </w:rPr>
        <w:t>ч, определяется: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128"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23.01.2015 N 47)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если в договоре, обеспечивающем продажу электрической энергии (мощности) на розничном рынке, имеются данные о величине максимальной мощности энергопринимающих устройств в соответствующей точке поставки, за исключением случая, указанного в </w:t>
      </w:r>
      <w:hyperlink w:anchor="Par3601" w:history="1">
        <w:r>
          <w:rPr>
            <w:rFonts w:ascii="Arial" w:hAnsi="Arial" w:cs="Arial"/>
            <w:color w:val="0000FF"/>
            <w:sz w:val="20"/>
            <w:szCs w:val="20"/>
          </w:rPr>
          <w:t>абзаце седьмом</w:t>
        </w:r>
      </w:hyperlink>
      <w:r>
        <w:rPr>
          <w:rFonts w:ascii="Arial" w:hAnsi="Arial" w:cs="Arial"/>
          <w:sz w:val="20"/>
          <w:szCs w:val="20"/>
        </w:rPr>
        <w:t xml:space="preserve"> настоящего подпункта, по формуле:</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129"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7"/>
          <w:sz w:val="20"/>
          <w:szCs w:val="20"/>
          <w:lang w:eastAsia="ru-RU"/>
        </w:rPr>
        <w:drawing>
          <wp:inline distT="0" distB="0" distL="0" distR="0">
            <wp:extent cx="695325" cy="228600"/>
            <wp:effectExtent l="0" t="0" r="9525"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Pr>
          <w:rFonts w:ascii="Arial" w:hAnsi="Arial" w:cs="Arial"/>
          <w:sz w:val="20"/>
          <w:szCs w:val="20"/>
        </w:rPr>
        <w:t>,</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P</w:t>
      </w:r>
      <w:r>
        <w:rPr>
          <w:rFonts w:ascii="Arial" w:hAnsi="Arial" w:cs="Arial"/>
          <w:sz w:val="20"/>
          <w:szCs w:val="20"/>
          <w:vertAlign w:val="subscript"/>
        </w:rPr>
        <w:t>макс</w:t>
      </w:r>
      <w:r>
        <w:rPr>
          <w:rFonts w:ascii="Arial" w:hAnsi="Arial" w:cs="Arial"/>
          <w:sz w:val="20"/>
          <w:szCs w:val="20"/>
        </w:rPr>
        <w:t xml:space="preserve"> - максимальная мощность энергопринимающих устройств, относящаяся к соответствующей точке поставки, а в случае, если в договоре, обеспечивающем продажу электрической энергии (мощности) на розничном рынке, не предусмотрено распределение максимальной мощности по точкам поставки, то в целях применения настоящей формулы максимальная мощность энергопринимающих устройств в границах балансовой принадлежности распределяется по точкам поставки пропорционально величине допустимой длительной токовой нагрузки соответствующего вводного провода (кабеля), 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T - количество часов в расчетном периоде, используемое при расчете безучетного потребления, но не более 4380 часов. При определении объема безучетного потребления количество часов потребления электрической энергии признается равным 24 часам в сутки вне зависимости от фактического режима работы потребителя и (или) количества часов использования им электрической энергии (мощности);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131"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18.04.2020 N 554)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63" w:name="Par3601"/>
      <w:bookmarkEnd w:id="263"/>
      <w:r>
        <w:rPr>
          <w:rFonts w:ascii="Arial" w:hAnsi="Arial" w:cs="Arial"/>
          <w:sz w:val="20"/>
          <w:szCs w:val="20"/>
        </w:rPr>
        <w:t>если в договоре, обеспечивающем продажу электрической энергии (мощности) на розничном рынке, отсутствуют данные о величине максимальной мощности энергопринимающих устройств или если при выявлении безучетного потребления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договоре, обеспечивающем продажу электрической энергии (мощности) на розничном рынке, по формулам:</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132"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для однофазного ввода:</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23"/>
          <w:sz w:val="20"/>
          <w:szCs w:val="20"/>
          <w:lang w:eastAsia="ru-RU"/>
        </w:rPr>
        <w:drawing>
          <wp:inline distT="0" distB="0" distL="0" distR="0">
            <wp:extent cx="1685925" cy="419100"/>
            <wp:effectExtent l="0" t="0" r="9525"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r>
        <w:rPr>
          <w:rFonts w:ascii="Arial" w:hAnsi="Arial" w:cs="Arial"/>
          <w:sz w:val="20"/>
          <w:szCs w:val="20"/>
        </w:rPr>
        <w:t>,</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для трехфазного ввода:</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23"/>
          <w:sz w:val="20"/>
          <w:szCs w:val="20"/>
          <w:lang w:eastAsia="ru-RU"/>
        </w:rPr>
        <w:drawing>
          <wp:inline distT="0" distB="0" distL="0" distR="0">
            <wp:extent cx="1828800" cy="419100"/>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1828800" cy="419100"/>
                    </a:xfrm>
                    <a:prstGeom prst="rect">
                      <a:avLst/>
                    </a:prstGeom>
                    <a:noFill/>
                    <a:ln>
                      <a:noFill/>
                    </a:ln>
                  </pic:spPr>
                </pic:pic>
              </a:graphicData>
            </a:graphic>
          </wp:inline>
        </w:drawing>
      </w:r>
      <w:r>
        <w:rPr>
          <w:rFonts w:ascii="Arial" w:hAnsi="Arial" w:cs="Arial"/>
          <w:sz w:val="20"/>
          <w:szCs w:val="20"/>
        </w:rPr>
        <w:t>,</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I</w:t>
      </w:r>
      <w:r>
        <w:rPr>
          <w:rFonts w:ascii="Arial" w:hAnsi="Arial" w:cs="Arial"/>
          <w:sz w:val="20"/>
          <w:szCs w:val="20"/>
          <w:vertAlign w:val="subscript"/>
        </w:rPr>
        <w:t>доп.дл.</w:t>
      </w:r>
      <w:r>
        <w:rPr>
          <w:rFonts w:ascii="Arial" w:hAnsi="Arial" w:cs="Arial"/>
          <w:sz w:val="20"/>
          <w:szCs w:val="20"/>
        </w:rPr>
        <w:t xml:space="preserve"> - допустимая длительная токовая нагрузка вводного провода (кабеля), 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U</w:t>
      </w:r>
      <w:r>
        <w:rPr>
          <w:rFonts w:ascii="Arial" w:hAnsi="Arial" w:cs="Arial"/>
          <w:sz w:val="20"/>
          <w:szCs w:val="20"/>
          <w:vertAlign w:val="subscript"/>
        </w:rPr>
        <w:t>ф.ном.</w:t>
      </w:r>
      <w:r>
        <w:rPr>
          <w:rFonts w:ascii="Arial" w:hAnsi="Arial" w:cs="Arial"/>
          <w:sz w:val="20"/>
          <w:szCs w:val="20"/>
        </w:rPr>
        <w:t xml:space="preserve"> - номинальное фазное напряжение, кВ;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2"/>
          <w:sz w:val="20"/>
          <w:szCs w:val="20"/>
          <w:lang w:eastAsia="ru-RU"/>
        </w:rPr>
        <w:drawing>
          <wp:inline distT="0" distB="0" distL="0" distR="0">
            <wp:extent cx="371475" cy="161925"/>
            <wp:effectExtent l="0" t="0" r="9525" b="9525"/>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Pr>
          <w:rFonts w:ascii="Arial" w:hAnsi="Arial" w:cs="Arial"/>
          <w:sz w:val="20"/>
          <w:szCs w:val="20"/>
        </w:rPr>
        <w:t xml:space="preserve"> - коэффициент мощности при максимуме нагрузки. При отсутствии данных в договоре коэффициент принимается равным 0,9;</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64" w:name="Par3615"/>
      <w:bookmarkEnd w:id="264"/>
      <w:r>
        <w:rPr>
          <w:rFonts w:ascii="Arial" w:hAnsi="Arial" w:cs="Arial"/>
          <w:sz w:val="20"/>
          <w:szCs w:val="20"/>
        </w:rPr>
        <w:t>б) почасовые объемы потребления электрической энергии в соответствующей точке поставки, МВт</w:t>
      </w:r>
      <w:r>
        <w:rPr>
          <w:rFonts w:ascii="Arial" w:hAnsi="Arial" w:cs="Arial"/>
          <w:noProof/>
          <w:position w:val="1"/>
          <w:sz w:val="20"/>
          <w:szCs w:val="20"/>
          <w:lang w:eastAsia="ru-RU"/>
        </w:rPr>
        <w:drawing>
          <wp:inline distT="0" distB="0" distL="0" distR="0">
            <wp:extent cx="66675" cy="123825"/>
            <wp:effectExtent l="0" t="0" r="9525"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66675" cy="123825"/>
                    </a:xfrm>
                    <a:prstGeom prst="rect">
                      <a:avLst/>
                    </a:prstGeom>
                    <a:noFill/>
                    <a:ln>
                      <a:noFill/>
                    </a:ln>
                  </pic:spPr>
                </pic:pic>
              </a:graphicData>
            </a:graphic>
          </wp:inline>
        </w:drawing>
      </w:r>
      <w:r>
        <w:rPr>
          <w:rFonts w:ascii="Arial" w:hAnsi="Arial" w:cs="Arial"/>
          <w:sz w:val="20"/>
          <w:szCs w:val="20"/>
        </w:rPr>
        <w:t>ч, определяются по формуле:</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136"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23.01.2015 N 47)</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20"/>
          <w:sz w:val="20"/>
          <w:szCs w:val="20"/>
          <w:lang w:eastAsia="ru-RU"/>
        </w:rPr>
        <w:lastRenderedPageBreak/>
        <w:drawing>
          <wp:inline distT="0" distB="0" distL="0" distR="0">
            <wp:extent cx="571500" cy="390525"/>
            <wp:effectExtent l="0" t="0" r="0" b="9525"/>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Pr>
          <w:rFonts w:ascii="Arial" w:hAnsi="Arial" w:cs="Arial"/>
          <w:sz w:val="20"/>
          <w:szCs w:val="20"/>
        </w:rPr>
        <w:t>,</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где W - объем потребления электрической энергии в соответствующей точке поставки, определенный в соответствии с </w:t>
      </w:r>
      <w:hyperlink w:anchor="Par3590" w:history="1">
        <w:r>
          <w:rPr>
            <w:rFonts w:ascii="Arial" w:hAnsi="Arial" w:cs="Arial"/>
            <w:color w:val="0000FF"/>
            <w:sz w:val="20"/>
            <w:szCs w:val="20"/>
          </w:rPr>
          <w:t>подпунктом "а"</w:t>
        </w:r>
      </w:hyperlink>
      <w:r>
        <w:rPr>
          <w:rFonts w:ascii="Arial" w:hAnsi="Arial" w:cs="Arial"/>
          <w:sz w:val="20"/>
          <w:szCs w:val="20"/>
        </w:rPr>
        <w:t xml:space="preserve"> настоящего пункта, 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65" w:name="Par3621"/>
      <w:bookmarkEnd w:id="265"/>
      <w:r>
        <w:rPr>
          <w:rFonts w:ascii="Arial" w:hAnsi="Arial" w:cs="Arial"/>
          <w:sz w:val="20"/>
          <w:szCs w:val="20"/>
        </w:rPr>
        <w:t>2. Объем бездоговорного потребления электрической энергии, МВт</w:t>
      </w:r>
      <w:r>
        <w:rPr>
          <w:rFonts w:ascii="Arial" w:hAnsi="Arial" w:cs="Arial"/>
          <w:noProof/>
          <w:position w:val="1"/>
          <w:sz w:val="20"/>
          <w:szCs w:val="20"/>
          <w:lang w:eastAsia="ru-RU"/>
        </w:rPr>
        <w:drawing>
          <wp:inline distT="0" distB="0" distL="0" distR="0">
            <wp:extent cx="66675" cy="123825"/>
            <wp:effectExtent l="0" t="0" r="9525"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66675" cy="123825"/>
                    </a:xfrm>
                    <a:prstGeom prst="rect">
                      <a:avLst/>
                    </a:prstGeom>
                    <a:noFill/>
                    <a:ln>
                      <a:noFill/>
                    </a:ln>
                  </pic:spPr>
                </pic:pic>
              </a:graphicData>
            </a:graphic>
          </wp:inline>
        </w:drawing>
      </w:r>
      <w:r>
        <w:rPr>
          <w:rFonts w:ascii="Arial" w:hAnsi="Arial" w:cs="Arial"/>
          <w:sz w:val="20"/>
          <w:szCs w:val="20"/>
        </w:rPr>
        <w:t>ч, определяется исходя из величины допустимой длительной токовой нагрузки каждого вводного провода (кабеля) по формулам:</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138"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23.01.2015 N 47)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для однофазного ввода:</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23"/>
          <w:sz w:val="20"/>
          <w:szCs w:val="20"/>
          <w:lang w:eastAsia="ru-RU"/>
        </w:rPr>
        <w:drawing>
          <wp:inline distT="0" distB="0" distL="0" distR="0">
            <wp:extent cx="1790700" cy="41910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1790700" cy="419100"/>
                    </a:xfrm>
                    <a:prstGeom prst="rect">
                      <a:avLst/>
                    </a:prstGeom>
                    <a:noFill/>
                    <a:ln>
                      <a:noFill/>
                    </a:ln>
                  </pic:spPr>
                </pic:pic>
              </a:graphicData>
            </a:graphic>
          </wp:inline>
        </w:drawing>
      </w:r>
      <w:r>
        <w:rPr>
          <w:rFonts w:ascii="Arial" w:hAnsi="Arial" w:cs="Arial"/>
          <w:sz w:val="20"/>
          <w:szCs w:val="20"/>
        </w:rPr>
        <w:t>,</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для трехфазного ввода:</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23"/>
          <w:sz w:val="20"/>
          <w:szCs w:val="20"/>
          <w:lang w:eastAsia="ru-RU"/>
        </w:rPr>
        <w:drawing>
          <wp:inline distT="0" distB="0" distL="0" distR="0">
            <wp:extent cx="1943100" cy="41910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1943100" cy="419100"/>
                    </a:xfrm>
                    <a:prstGeom prst="rect">
                      <a:avLst/>
                    </a:prstGeom>
                    <a:noFill/>
                    <a:ln>
                      <a:noFill/>
                    </a:ln>
                  </pic:spPr>
                </pic:pic>
              </a:graphicData>
            </a:graphic>
          </wp:inline>
        </w:drawing>
      </w:r>
      <w:r>
        <w:rPr>
          <w:rFonts w:ascii="Arial" w:hAnsi="Arial" w:cs="Arial"/>
          <w:sz w:val="20"/>
          <w:szCs w:val="20"/>
        </w:rPr>
        <w:t>,</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 T</w:t>
      </w:r>
      <w:r>
        <w:rPr>
          <w:rFonts w:ascii="Arial" w:hAnsi="Arial" w:cs="Arial"/>
          <w:sz w:val="20"/>
          <w:szCs w:val="20"/>
          <w:vertAlign w:val="superscript"/>
        </w:rPr>
        <w:t>бд</w:t>
      </w:r>
      <w:r>
        <w:rPr>
          <w:rFonts w:ascii="Arial" w:hAnsi="Arial" w:cs="Arial"/>
          <w:sz w:val="20"/>
          <w:szCs w:val="20"/>
        </w:rPr>
        <w:t xml:space="preserve"> - количество часов в определенном в соответствии с </w:t>
      </w:r>
      <w:hyperlink w:anchor="Par1552" w:history="1">
        <w:r>
          <w:rPr>
            <w:rFonts w:ascii="Arial" w:hAnsi="Arial" w:cs="Arial"/>
            <w:color w:val="0000FF"/>
            <w:sz w:val="20"/>
            <w:szCs w:val="20"/>
          </w:rPr>
          <w:t>пунктом 189</w:t>
        </w:r>
      </w:hyperlink>
      <w:r>
        <w:rPr>
          <w:rFonts w:ascii="Arial" w:hAnsi="Arial" w:cs="Arial"/>
          <w:sz w:val="20"/>
          <w:szCs w:val="20"/>
        </w:rPr>
        <w:t xml:space="preserve"> Основных положений функционирования розничных рынков электрической энергии периоде времени, в течение которого осуществлялось бездоговорное потребление, но не более чем 8760 часов, ч.</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141"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18.04.2020 N 554)</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right"/>
        <w:outlineLvl w:val="1"/>
        <w:rPr>
          <w:rFonts w:ascii="Arial" w:hAnsi="Arial" w:cs="Arial"/>
          <w:sz w:val="20"/>
          <w:szCs w:val="20"/>
        </w:rPr>
      </w:pPr>
      <w:r>
        <w:rPr>
          <w:rFonts w:ascii="Arial" w:hAnsi="Arial" w:cs="Arial"/>
          <w:sz w:val="20"/>
          <w:szCs w:val="20"/>
        </w:rPr>
        <w:t>Приложение N 4</w:t>
      </w:r>
    </w:p>
    <w:p w:rsidR="009F5AFE" w:rsidRDefault="009F5AFE" w:rsidP="009F5AF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к Основным положениям</w:t>
      </w:r>
    </w:p>
    <w:p w:rsidR="009F5AFE" w:rsidRDefault="009F5AFE" w:rsidP="009F5AF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функционирования розничных</w:t>
      </w:r>
    </w:p>
    <w:p w:rsidR="009F5AFE" w:rsidRDefault="009F5AFE" w:rsidP="009F5AF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рынков электрической энергии</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bookmarkStart w:id="266" w:name="Par3643"/>
      <w:bookmarkEnd w:id="266"/>
      <w:r>
        <w:rPr>
          <w:rFonts w:ascii="Arial" w:eastAsiaTheme="minorHAnsi" w:hAnsi="Arial" w:cs="Arial"/>
          <w:color w:val="auto"/>
          <w:sz w:val="20"/>
          <w:szCs w:val="20"/>
        </w:rPr>
        <w:t>ФОРМУЛЫ</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РАСЧЕТА РЕЙТИНГА ОРГАНИЗАЦИЙ, ПОДАВШИХ ЗАЯВКИ НА УЧАСТИЕ</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В КОНКУРСЕ НА ПРИСВОЕНИЕ СТАТУСА ГАРАНТИРУЮЩЕГО ПОСТАВЩИКА</w:t>
      </w:r>
    </w:p>
    <w:p w:rsidR="009F5AFE" w:rsidRDefault="009F5AFE" w:rsidP="009F5AFE">
      <w:pPr>
        <w:autoSpaceDE w:val="0"/>
        <w:autoSpaceDN w:val="0"/>
        <w:adjustRightInd w:val="0"/>
        <w:spacing w:after="0" w:line="240" w:lineRule="auto"/>
        <w:rPr>
          <w:rFonts w:ascii="Arial" w:hAnsi="Arial" w:cs="Arial"/>
          <w:sz w:val="24"/>
          <w:szCs w:val="24"/>
        </w:rPr>
      </w:pPr>
    </w:p>
    <w:tbl>
      <w:tblPr>
        <w:tblW w:w="5000" w:type="pct"/>
        <w:jc w:val="center"/>
        <w:tblLayout w:type="fixed"/>
        <w:tblCellMar>
          <w:top w:w="113" w:type="dxa"/>
          <w:left w:w="113" w:type="dxa"/>
          <w:bottom w:w="113" w:type="dxa"/>
          <w:right w:w="113" w:type="dxa"/>
        </w:tblCellMar>
        <w:tblLook w:val="0000" w:firstRow="0" w:lastRow="0" w:firstColumn="0" w:lastColumn="0" w:noHBand="0" w:noVBand="0"/>
      </w:tblPr>
      <w:tblGrid>
        <w:gridCol w:w="10433"/>
      </w:tblGrid>
      <w:tr w:rsidR="009F5AFE">
        <w:trPr>
          <w:jc w:val="center"/>
        </w:trPr>
        <w:tc>
          <w:tcPr>
            <w:tcW w:w="5000" w:type="pct"/>
            <w:tcBorders>
              <w:left w:val="single" w:sz="24" w:space="0" w:color="CED3F1"/>
              <w:right w:val="single" w:sz="24" w:space="0" w:color="F4F3F8"/>
            </w:tcBorders>
            <w:shd w:val="clear" w:color="auto" w:fill="F4F3F8"/>
          </w:tcPr>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Список изменяющих документов</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(в ред. Постановлений Правительства РФ от 30.12.2012 </w:t>
            </w:r>
            <w:hyperlink r:id="rId1142" w:history="1">
              <w:r>
                <w:rPr>
                  <w:rFonts w:ascii="Arial" w:hAnsi="Arial" w:cs="Arial"/>
                  <w:color w:val="0000FF"/>
                  <w:sz w:val="20"/>
                  <w:szCs w:val="20"/>
                </w:rPr>
                <w:t>N 1482</w:t>
              </w:r>
            </w:hyperlink>
            <w:r>
              <w:rPr>
                <w:rFonts w:ascii="Arial" w:hAnsi="Arial" w:cs="Arial"/>
                <w:color w:val="392C69"/>
                <w:sz w:val="20"/>
                <w:szCs w:val="20"/>
              </w:rPr>
              <w:t>,</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11.10.2016 </w:t>
            </w:r>
            <w:hyperlink r:id="rId1143" w:history="1">
              <w:r>
                <w:rPr>
                  <w:rFonts w:ascii="Arial" w:hAnsi="Arial" w:cs="Arial"/>
                  <w:color w:val="0000FF"/>
                  <w:sz w:val="20"/>
                  <w:szCs w:val="20"/>
                </w:rPr>
                <w:t>N 1030</w:t>
              </w:r>
            </w:hyperlink>
            <w:r>
              <w:rPr>
                <w:rFonts w:ascii="Arial" w:hAnsi="Arial" w:cs="Arial"/>
                <w:color w:val="392C69"/>
                <w:sz w:val="20"/>
                <w:szCs w:val="20"/>
              </w:rPr>
              <w:t xml:space="preserve">, от 21.07.2017 </w:t>
            </w:r>
            <w:hyperlink r:id="rId1144" w:history="1">
              <w:r>
                <w:rPr>
                  <w:rFonts w:ascii="Arial" w:hAnsi="Arial" w:cs="Arial"/>
                  <w:color w:val="0000FF"/>
                  <w:sz w:val="20"/>
                  <w:szCs w:val="20"/>
                </w:rPr>
                <w:t>N 863</w:t>
              </w:r>
            </w:hyperlink>
            <w:r>
              <w:rPr>
                <w:rFonts w:ascii="Arial" w:hAnsi="Arial" w:cs="Arial"/>
                <w:color w:val="392C69"/>
                <w:sz w:val="20"/>
                <w:szCs w:val="20"/>
              </w:rPr>
              <w:t>)</w:t>
            </w:r>
          </w:p>
        </w:tc>
      </w:tr>
    </w:tbl>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Рейтинг организации, подавшей заявку на участие в конкурсе на присвоение статуса гарантирующего поставщика и допущенной к участию в нем (далее - соответственно участник, конкурс) (R), определяется по формуле:</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145"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11.10.2016 N 1030)</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21"/>
          <w:sz w:val="20"/>
          <w:szCs w:val="20"/>
          <w:lang w:eastAsia="ru-RU"/>
        </w:rPr>
        <w:drawing>
          <wp:inline distT="0" distB="0" distL="0" distR="0">
            <wp:extent cx="1733550" cy="400050"/>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1733550" cy="400050"/>
                    </a:xfrm>
                    <a:prstGeom prst="rect">
                      <a:avLst/>
                    </a:prstGeom>
                    <a:noFill/>
                    <a:ln>
                      <a:noFill/>
                    </a:ln>
                  </pic:spPr>
                </pic:pic>
              </a:graphicData>
            </a:graphic>
          </wp:inline>
        </w:drawing>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147"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21.07.2017 N 863)</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Д - размер денежных средств, указанных в заявке на участие в конкурсе, которые заявитель обязуется в случае признания его победителем конкурса предложить в оферте, направляемой кредиторам </w:t>
      </w:r>
      <w:r>
        <w:rPr>
          <w:rFonts w:ascii="Arial" w:hAnsi="Arial" w:cs="Arial"/>
          <w:sz w:val="20"/>
          <w:szCs w:val="20"/>
        </w:rPr>
        <w:lastRenderedPageBreak/>
        <w:t xml:space="preserve">заменяемого гарантирующего поставщика, в счет уступки их требований по оплате всей или части суммы задолженности, указанной в </w:t>
      </w:r>
      <w:hyperlink w:anchor="Par1766" w:history="1">
        <w:r>
          <w:rPr>
            <w:rFonts w:ascii="Arial" w:hAnsi="Arial" w:cs="Arial"/>
            <w:color w:val="0000FF"/>
            <w:sz w:val="20"/>
            <w:szCs w:val="20"/>
          </w:rPr>
          <w:t>абзаце двенадцатом пункта 207</w:t>
        </w:r>
      </w:hyperlink>
      <w:r>
        <w:rPr>
          <w:rFonts w:ascii="Arial" w:hAnsi="Arial" w:cs="Arial"/>
          <w:sz w:val="20"/>
          <w:szCs w:val="20"/>
        </w:rPr>
        <w:t xml:space="preserve"> настоящего документа, рублей;</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148"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11.10.2016 N 1030)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I</w:t>
      </w:r>
      <w:r>
        <w:rPr>
          <w:rFonts w:ascii="Arial" w:hAnsi="Arial" w:cs="Arial"/>
          <w:sz w:val="20"/>
          <w:szCs w:val="20"/>
          <w:vertAlign w:val="subscript"/>
        </w:rPr>
        <w:t>r</w:t>
      </w:r>
      <w:r>
        <w:rPr>
          <w:rFonts w:ascii="Arial" w:hAnsi="Arial" w:cs="Arial"/>
          <w:sz w:val="20"/>
          <w:szCs w:val="20"/>
        </w:rPr>
        <w:t xml:space="preserve"> - штрафной индекс, который равен 1000 в случае внесения сведений о заявителе в реестр недобросовестных участников конкурсов или 0 в случае отсутствия сведений о заявителе в указанном реестре;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абзац утратил силу. - </w:t>
      </w:r>
      <w:hyperlink r:id="rId1149" w:history="1">
        <w:r>
          <w:rPr>
            <w:rFonts w:ascii="Arial" w:hAnsi="Arial" w:cs="Arial"/>
            <w:color w:val="0000FF"/>
            <w:sz w:val="20"/>
            <w:szCs w:val="20"/>
          </w:rPr>
          <w:t>Постановление</w:t>
        </w:r>
      </w:hyperlink>
      <w:r>
        <w:rPr>
          <w:rFonts w:ascii="Arial" w:hAnsi="Arial" w:cs="Arial"/>
          <w:sz w:val="20"/>
          <w:szCs w:val="20"/>
        </w:rPr>
        <w:t xml:space="preserve"> Правительства РФ от 21.07.2017 N 863;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К - размер собственного капитала заявителя по результатам последнего отчетного периода, предшествующего дате подачи заявки на участие в конкурсе, учитываемый в расчете рейтинга только в случае, если максимальное значение размера денежных средств (Д), указанных в настоящем пункте, соответствует размеру, указанному в нескольких заявках. Размер собственного капитала заявителя определяется на основании данных бухгалтерского баланса, составленного на последнюю отчетную дату, с отметкой налоговой инспекции о его принятии как итог раздела III "Капитал и резервы, рублей" указанного бухгалтерского баланса.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1150"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11.10.2016 N 1030)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Утратил силу. - </w:t>
      </w:r>
      <w:hyperlink r:id="rId1151" w:history="1">
        <w:r>
          <w:rPr>
            <w:rFonts w:ascii="Arial" w:hAnsi="Arial" w:cs="Arial"/>
            <w:color w:val="0000FF"/>
            <w:sz w:val="20"/>
            <w:szCs w:val="20"/>
          </w:rPr>
          <w:t>Постановление</w:t>
        </w:r>
      </w:hyperlink>
      <w:r>
        <w:rPr>
          <w:rFonts w:ascii="Arial" w:hAnsi="Arial" w:cs="Arial"/>
          <w:sz w:val="20"/>
          <w:szCs w:val="20"/>
        </w:rPr>
        <w:t xml:space="preserve"> Правительства РФ от 11.10.2016 N 1030.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Утратил силу. - </w:t>
      </w:r>
      <w:hyperlink r:id="rId1152" w:history="1">
        <w:r>
          <w:rPr>
            <w:rFonts w:ascii="Arial" w:hAnsi="Arial" w:cs="Arial"/>
            <w:color w:val="0000FF"/>
            <w:sz w:val="20"/>
            <w:szCs w:val="20"/>
          </w:rPr>
          <w:t>Постановление</w:t>
        </w:r>
      </w:hyperlink>
      <w:r>
        <w:rPr>
          <w:rFonts w:ascii="Arial" w:hAnsi="Arial" w:cs="Arial"/>
          <w:sz w:val="20"/>
          <w:szCs w:val="20"/>
        </w:rPr>
        <w:t xml:space="preserve"> Правительства РФ от 21.07.2017 N 863.</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right"/>
        <w:outlineLvl w:val="0"/>
        <w:rPr>
          <w:rFonts w:ascii="Arial" w:hAnsi="Arial" w:cs="Arial"/>
          <w:sz w:val="20"/>
          <w:szCs w:val="20"/>
        </w:rPr>
      </w:pPr>
      <w:r>
        <w:rPr>
          <w:rFonts w:ascii="Arial" w:hAnsi="Arial" w:cs="Arial"/>
          <w:sz w:val="20"/>
          <w:szCs w:val="20"/>
        </w:rPr>
        <w:t>Утверждены</w:t>
      </w:r>
    </w:p>
    <w:p w:rsidR="009F5AFE" w:rsidRDefault="009F5AFE" w:rsidP="009F5AF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постановлением Правительства</w:t>
      </w:r>
    </w:p>
    <w:p w:rsidR="009F5AFE" w:rsidRDefault="009F5AFE" w:rsidP="009F5AF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Российской Федерации</w:t>
      </w:r>
    </w:p>
    <w:p w:rsidR="009F5AFE" w:rsidRDefault="009F5AFE" w:rsidP="009F5AF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от 4 мая 2012 г. N 442</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bookmarkStart w:id="267" w:name="Par3675"/>
      <w:bookmarkEnd w:id="267"/>
      <w:r>
        <w:rPr>
          <w:rFonts w:ascii="Arial" w:eastAsiaTheme="minorHAnsi" w:hAnsi="Arial" w:cs="Arial"/>
          <w:color w:val="auto"/>
          <w:sz w:val="20"/>
          <w:szCs w:val="20"/>
        </w:rPr>
        <w:t>ПРАВИЛА</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ПОЛНОГО И (ИЛИ) ЧАСТИЧНОГО ОГРАНИЧЕНИЯ РЕЖИМА ПОТРЕБЛЕНИЯ</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ЭЛЕКТРИЧЕСКОЙ ЭНЕРГИИ</w:t>
      </w:r>
    </w:p>
    <w:p w:rsidR="009F5AFE" w:rsidRDefault="009F5AFE" w:rsidP="009F5AFE">
      <w:pPr>
        <w:autoSpaceDE w:val="0"/>
        <w:autoSpaceDN w:val="0"/>
        <w:adjustRightInd w:val="0"/>
        <w:spacing w:after="0" w:line="240" w:lineRule="auto"/>
        <w:rPr>
          <w:rFonts w:ascii="Arial" w:hAnsi="Arial" w:cs="Arial"/>
          <w:sz w:val="24"/>
          <w:szCs w:val="24"/>
        </w:rPr>
      </w:pPr>
    </w:p>
    <w:tbl>
      <w:tblPr>
        <w:tblW w:w="5000" w:type="pct"/>
        <w:jc w:val="center"/>
        <w:tblLayout w:type="fixed"/>
        <w:tblCellMar>
          <w:top w:w="113" w:type="dxa"/>
          <w:left w:w="113" w:type="dxa"/>
          <w:bottom w:w="113" w:type="dxa"/>
          <w:right w:w="113" w:type="dxa"/>
        </w:tblCellMar>
        <w:tblLook w:val="0000" w:firstRow="0" w:lastRow="0" w:firstColumn="0" w:lastColumn="0" w:noHBand="0" w:noVBand="0"/>
      </w:tblPr>
      <w:tblGrid>
        <w:gridCol w:w="10433"/>
      </w:tblGrid>
      <w:tr w:rsidR="009F5AFE">
        <w:trPr>
          <w:jc w:val="center"/>
        </w:trPr>
        <w:tc>
          <w:tcPr>
            <w:tcW w:w="5000" w:type="pct"/>
            <w:tcBorders>
              <w:left w:val="single" w:sz="24" w:space="0" w:color="CED3F1"/>
              <w:right w:val="single" w:sz="24" w:space="0" w:color="F4F3F8"/>
            </w:tcBorders>
            <w:shd w:val="clear" w:color="auto" w:fill="F4F3F8"/>
          </w:tcPr>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Список изменяющих документов</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(в ред. Постановлений Правительства РФ от 30.12.2012 </w:t>
            </w:r>
            <w:hyperlink r:id="rId1153" w:history="1">
              <w:r>
                <w:rPr>
                  <w:rFonts w:ascii="Arial" w:hAnsi="Arial" w:cs="Arial"/>
                  <w:color w:val="0000FF"/>
                  <w:sz w:val="20"/>
                  <w:szCs w:val="20"/>
                </w:rPr>
                <w:t>N 1482</w:t>
              </w:r>
            </w:hyperlink>
            <w:r>
              <w:rPr>
                <w:rFonts w:ascii="Arial" w:hAnsi="Arial" w:cs="Arial"/>
                <w:color w:val="392C69"/>
                <w:sz w:val="20"/>
                <w:szCs w:val="20"/>
              </w:rPr>
              <w:t>,</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26.08.2013 </w:t>
            </w:r>
            <w:hyperlink r:id="rId1154" w:history="1">
              <w:r>
                <w:rPr>
                  <w:rFonts w:ascii="Arial" w:hAnsi="Arial" w:cs="Arial"/>
                  <w:color w:val="0000FF"/>
                  <w:sz w:val="20"/>
                  <w:szCs w:val="20"/>
                </w:rPr>
                <w:t>N 737</w:t>
              </w:r>
            </w:hyperlink>
            <w:r>
              <w:rPr>
                <w:rFonts w:ascii="Arial" w:hAnsi="Arial" w:cs="Arial"/>
                <w:color w:val="392C69"/>
                <w:sz w:val="20"/>
                <w:szCs w:val="20"/>
              </w:rPr>
              <w:t xml:space="preserve">, от 06.03.2015 </w:t>
            </w:r>
            <w:hyperlink r:id="rId1155" w:history="1">
              <w:r>
                <w:rPr>
                  <w:rFonts w:ascii="Arial" w:hAnsi="Arial" w:cs="Arial"/>
                  <w:color w:val="0000FF"/>
                  <w:sz w:val="20"/>
                  <w:szCs w:val="20"/>
                </w:rPr>
                <w:t>N 201</w:t>
              </w:r>
            </w:hyperlink>
            <w:r>
              <w:rPr>
                <w:rFonts w:ascii="Arial" w:hAnsi="Arial" w:cs="Arial"/>
                <w:color w:val="392C69"/>
                <w:sz w:val="20"/>
                <w:szCs w:val="20"/>
              </w:rPr>
              <w:t xml:space="preserve">, от 26.12.2016 </w:t>
            </w:r>
            <w:hyperlink r:id="rId1156" w:history="1">
              <w:r>
                <w:rPr>
                  <w:rFonts w:ascii="Arial" w:hAnsi="Arial" w:cs="Arial"/>
                  <w:color w:val="0000FF"/>
                  <w:sz w:val="20"/>
                  <w:szCs w:val="20"/>
                </w:rPr>
                <w:t>N 1498</w:t>
              </w:r>
            </w:hyperlink>
            <w:r>
              <w:rPr>
                <w:rFonts w:ascii="Arial" w:hAnsi="Arial" w:cs="Arial"/>
                <w:color w:val="392C69"/>
                <w:sz w:val="20"/>
                <w:szCs w:val="20"/>
              </w:rPr>
              <w:t>,</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24.05.2017 </w:t>
            </w:r>
            <w:hyperlink r:id="rId1157" w:history="1">
              <w:r>
                <w:rPr>
                  <w:rFonts w:ascii="Arial" w:hAnsi="Arial" w:cs="Arial"/>
                  <w:color w:val="0000FF"/>
                  <w:sz w:val="20"/>
                  <w:szCs w:val="20"/>
                </w:rPr>
                <w:t>N 624</w:t>
              </w:r>
            </w:hyperlink>
            <w:r>
              <w:rPr>
                <w:rFonts w:ascii="Arial" w:hAnsi="Arial" w:cs="Arial"/>
                <w:color w:val="392C69"/>
                <w:sz w:val="20"/>
                <w:szCs w:val="20"/>
              </w:rPr>
              <w:t xml:space="preserve">, от 10.11.2017 </w:t>
            </w:r>
            <w:hyperlink r:id="rId1158" w:history="1">
              <w:r>
                <w:rPr>
                  <w:rFonts w:ascii="Arial" w:hAnsi="Arial" w:cs="Arial"/>
                  <w:color w:val="0000FF"/>
                  <w:sz w:val="20"/>
                  <w:szCs w:val="20"/>
                </w:rPr>
                <w:t>N 1351</w:t>
              </w:r>
            </w:hyperlink>
            <w:r>
              <w:rPr>
                <w:rFonts w:ascii="Arial" w:hAnsi="Arial" w:cs="Arial"/>
                <w:color w:val="392C69"/>
                <w:sz w:val="20"/>
                <w:szCs w:val="20"/>
              </w:rPr>
              <w:t xml:space="preserve">, от 26.07.2018 </w:t>
            </w:r>
            <w:hyperlink r:id="rId1159" w:history="1">
              <w:r>
                <w:rPr>
                  <w:rFonts w:ascii="Arial" w:hAnsi="Arial" w:cs="Arial"/>
                  <w:color w:val="0000FF"/>
                  <w:sz w:val="20"/>
                  <w:szCs w:val="20"/>
                </w:rPr>
                <w:t>N 875</w:t>
              </w:r>
            </w:hyperlink>
            <w:r>
              <w:rPr>
                <w:rFonts w:ascii="Arial" w:hAnsi="Arial" w:cs="Arial"/>
                <w:color w:val="392C69"/>
                <w:sz w:val="20"/>
                <w:szCs w:val="20"/>
              </w:rPr>
              <w:t>,</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13.08.2018 </w:t>
            </w:r>
            <w:hyperlink r:id="rId1160" w:history="1">
              <w:r>
                <w:rPr>
                  <w:rFonts w:ascii="Arial" w:hAnsi="Arial" w:cs="Arial"/>
                  <w:color w:val="0000FF"/>
                  <w:sz w:val="20"/>
                  <w:szCs w:val="20"/>
                </w:rPr>
                <w:t>N 937</w:t>
              </w:r>
            </w:hyperlink>
            <w:r>
              <w:rPr>
                <w:rFonts w:ascii="Arial" w:hAnsi="Arial" w:cs="Arial"/>
                <w:color w:val="392C69"/>
                <w:sz w:val="20"/>
                <w:szCs w:val="20"/>
              </w:rPr>
              <w:t xml:space="preserve">, от 17.09.2018 </w:t>
            </w:r>
            <w:hyperlink r:id="rId1161" w:history="1">
              <w:r>
                <w:rPr>
                  <w:rFonts w:ascii="Arial" w:hAnsi="Arial" w:cs="Arial"/>
                  <w:color w:val="0000FF"/>
                  <w:sz w:val="20"/>
                  <w:szCs w:val="20"/>
                </w:rPr>
                <w:t>N 1096</w:t>
              </w:r>
            </w:hyperlink>
            <w:r>
              <w:rPr>
                <w:rFonts w:ascii="Arial" w:hAnsi="Arial" w:cs="Arial"/>
                <w:color w:val="392C69"/>
                <w:sz w:val="20"/>
                <w:szCs w:val="20"/>
              </w:rPr>
              <w:t xml:space="preserve">, от 21.12.2018 </w:t>
            </w:r>
            <w:hyperlink r:id="rId1162" w:history="1">
              <w:r>
                <w:rPr>
                  <w:rFonts w:ascii="Arial" w:hAnsi="Arial" w:cs="Arial"/>
                  <w:color w:val="0000FF"/>
                  <w:sz w:val="20"/>
                  <w:szCs w:val="20"/>
                </w:rPr>
                <w:t>N 1622</w:t>
              </w:r>
            </w:hyperlink>
            <w:r>
              <w:rPr>
                <w:rFonts w:ascii="Arial" w:hAnsi="Arial" w:cs="Arial"/>
                <w:color w:val="392C69"/>
                <w:sz w:val="20"/>
                <w:szCs w:val="20"/>
              </w:rPr>
              <w:t>,</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02.03.2019 </w:t>
            </w:r>
            <w:hyperlink r:id="rId1163" w:history="1">
              <w:r>
                <w:rPr>
                  <w:rFonts w:ascii="Arial" w:hAnsi="Arial" w:cs="Arial"/>
                  <w:color w:val="0000FF"/>
                  <w:sz w:val="20"/>
                  <w:szCs w:val="20"/>
                </w:rPr>
                <w:t>N 227</w:t>
              </w:r>
            </w:hyperlink>
            <w:r>
              <w:rPr>
                <w:rFonts w:ascii="Arial" w:hAnsi="Arial" w:cs="Arial"/>
                <w:color w:val="392C69"/>
                <w:sz w:val="20"/>
                <w:szCs w:val="20"/>
              </w:rPr>
              <w:t>)</w:t>
            </w:r>
          </w:p>
        </w:tc>
      </w:tr>
    </w:tbl>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I. Общие положения</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Настоящие Правила устанавливают основы регулирования отношений, связанных с введением полного или частичного ограничения режима потребления электрической энергии потребителями электрической энергии (мощности) - участниками оптового и розничных рынков электрической энергии (далее - потребители).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 в ред. </w:t>
      </w:r>
      <w:hyperlink r:id="rId1164"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1(1). В настоящих Правилах используются следующие основные понятия: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"ограничение режима потребления" - полное и (или) частичное ограничение режима потребления электрической энергии энергопринимающими устройствами и (или) объектами электроэнергетики потребителя, в том числе уровня потребления электрической энергии, осуществляемое в порядке и в случаях, которые определяются настоящими Правилами;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"частичное ограничение режима потребления" - ограничение режима потребления, вводимое в отношении энергопринимающих устройств и (или) объектов электроэнергетики и предполагающее </w:t>
      </w:r>
      <w:r>
        <w:rPr>
          <w:rFonts w:ascii="Arial" w:hAnsi="Arial" w:cs="Arial"/>
          <w:sz w:val="20"/>
          <w:szCs w:val="20"/>
        </w:rPr>
        <w:lastRenderedPageBreak/>
        <w:t>сокращение объема подачи электрической энергии (мощности) потребителю до уровня, определенного в соответствии с настоящими Правилами;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"полное ограничение режима потребления" - ограничение режима потребления, предполагающее прекращение подачи электрической энергии (мощности) потребителю в отношении энергопринимающих устройств и (или) объектов электроэнергетики потребителя, ограничение режима потребления которыми подлежит введению в соответствии с настоящими Правилами;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"самостоятельное ограничение режима потребления" - осуществление полного или частичного ограничения режима потребления электрической энергии потребителем самостоятельно в его энергопринимающих устройствах и (или) на его объектах электроэнергетики любым способом;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"инициатор введения ограничения" - лицо, по инициативе которого в соответствии с настоящими Правилами вводится ограничение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"исполнитель" - сетевая организация, оказывающая услуги по передаче электрической энергии в точке, точках поставки, сформированных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"субисполнитель" - сетевая организация либо иное лицо, включая садоводческие и огороднические некоммерческие товарищества, которые не оказывают услуг по передаче электрической энергии 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ограничение режима потребления которыми подлежит введению в соответствии с настоящими Правилами;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Постановлений Правительства РФ от 10.11.2017 </w:t>
      </w:r>
      <w:hyperlink r:id="rId1165" w:history="1">
        <w:r>
          <w:rPr>
            <w:rFonts w:ascii="Arial" w:hAnsi="Arial" w:cs="Arial"/>
            <w:color w:val="0000FF"/>
            <w:sz w:val="20"/>
            <w:szCs w:val="20"/>
          </w:rPr>
          <w:t>N 1351</w:t>
        </w:r>
      </w:hyperlink>
      <w:r>
        <w:rPr>
          <w:rFonts w:ascii="Arial" w:hAnsi="Arial" w:cs="Arial"/>
          <w:sz w:val="20"/>
          <w:szCs w:val="20"/>
        </w:rPr>
        <w:t xml:space="preserve">, от 21.12.2018 </w:t>
      </w:r>
      <w:hyperlink r:id="rId1166" w:history="1">
        <w:r>
          <w:rPr>
            <w:rFonts w:ascii="Arial" w:hAnsi="Arial" w:cs="Arial"/>
            <w:color w:val="0000FF"/>
            <w:sz w:val="20"/>
            <w:szCs w:val="20"/>
          </w:rPr>
          <w:t>N 1622</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"потребители, ограничение режима потребления электрической энергии которых может привести к экономическим, экологическим или социальным последствиям" - потребители, которые относятся к категориям потребителей согласно </w:t>
      </w:r>
      <w:hyperlink w:anchor="Par4183" w:history="1">
        <w:r>
          <w:rPr>
            <w:rFonts w:ascii="Arial" w:hAnsi="Arial" w:cs="Arial"/>
            <w:color w:val="0000FF"/>
            <w:sz w:val="20"/>
            <w:szCs w:val="20"/>
          </w:rPr>
          <w:t>приложению</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Иные понятия, используемые в настоящих Правилах, имеют значения, определенные законодательством Российской Федерации об электроэнергетике.</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1(1) введен </w:t>
      </w:r>
      <w:hyperlink r:id="rId1167"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68" w:name="Par3701"/>
      <w:bookmarkEnd w:id="268"/>
      <w:r>
        <w:rPr>
          <w:rFonts w:ascii="Arial" w:hAnsi="Arial" w:cs="Arial"/>
          <w:sz w:val="20"/>
          <w:szCs w:val="20"/>
        </w:rPr>
        <w:t>1(2). Субисполнитель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если в соответствии с настоящими Правилами ограничение режима потребления вводится по инициативе сетевой организации, оказывающей потребителю услуги по передаче электрической энергии в соответствующей точке, точках поставки, эта сетевая организация не направляет исполнителю уведомление о необходимости введения ограничения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если в соответствии с настоящими Правилами ограничение режима потребления вводится по инициативе сетевой организации либо иного лица, которые не оказывают услуг по передаче электрической энергии 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направление субисполнителю уведомления о необходимости введения ограничения режима потребления не осуществляется.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Порядок взаимодействия исполнителя и субисполнителя, непосредственно осуществляющего введение ограничения режима потребления, аналогичен порядку взаимодействия инициатора введения ограничения и исполнителя, предусмотренному настоящими Правилами, если иное не установлено настоящими Правилами. Исполнитель и субисполнитель вправе детализировать порядок своего взаимодействия при введении ограничения режима потребления в договоре оказания услуг по передаче электрической энергии или в соглашении о взаимодействии между ними.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1(2) введен </w:t>
      </w:r>
      <w:hyperlink r:id="rId1168"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2. Ограничение режима потребления вводится при наступлении любого из следующих обстоятельств: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69" w:name="Par3707"/>
      <w:bookmarkEnd w:id="269"/>
      <w:r>
        <w:rPr>
          <w:rFonts w:ascii="Arial" w:hAnsi="Arial" w:cs="Arial"/>
          <w:sz w:val="20"/>
          <w:szCs w:val="20"/>
        </w:rPr>
        <w:t>а) получение законного требования судебного пристава-исполнителя о введении ограничения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70" w:name="Par3708"/>
      <w:bookmarkEnd w:id="270"/>
      <w:r>
        <w:rPr>
          <w:rFonts w:ascii="Arial" w:hAnsi="Arial" w:cs="Arial"/>
          <w:sz w:val="20"/>
          <w:szCs w:val="20"/>
        </w:rPr>
        <w:t>б) нарушение потребителем своих обязательств, выразившееся в следующих действиях:</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71" w:name="Par3709"/>
      <w:bookmarkEnd w:id="271"/>
      <w:r>
        <w:rPr>
          <w:rFonts w:ascii="Arial" w:hAnsi="Arial" w:cs="Arial"/>
          <w:sz w:val="20"/>
          <w:szCs w:val="20"/>
        </w:rPr>
        <w:t>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договора энергоснабжения (купли-продажи (поставки) электрической энергии (мощности)), в том числе обязательству по предварительной оплате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72" w:name="Par3710"/>
      <w:bookmarkEnd w:id="272"/>
      <w:r>
        <w:rPr>
          <w:rFonts w:ascii="Arial" w:hAnsi="Arial" w:cs="Arial"/>
          <w:sz w:val="20"/>
          <w:szCs w:val="20"/>
        </w:rPr>
        <w:t>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73" w:name="Par3711"/>
      <w:bookmarkEnd w:id="273"/>
      <w:r>
        <w:rPr>
          <w:rFonts w:ascii="Arial" w:hAnsi="Arial" w:cs="Arial"/>
          <w:sz w:val="20"/>
          <w:szCs w:val="20"/>
        </w:rPr>
        <w:t>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169"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13.08.2018 N 937)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74" w:name="Par3713"/>
      <w:bookmarkEnd w:id="274"/>
      <w:r>
        <w:rPr>
          <w:rFonts w:ascii="Arial" w:hAnsi="Arial" w:cs="Arial"/>
          <w:sz w:val="20"/>
          <w:szCs w:val="20"/>
        </w:rPr>
        <w:t>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75" w:name="Par3714"/>
      <w:bookmarkEnd w:id="275"/>
      <w:r>
        <w:rPr>
          <w:rFonts w:ascii="Arial" w:hAnsi="Arial" w:cs="Arial"/>
          <w:sz w:val="20"/>
          <w:szCs w:val="20"/>
        </w:rPr>
        <w:t>возникновение у граждан, ведущих садоводство или огородничество на земельных участках, расположенных в границах территории садоводства или огородничества, задолженности по оплате электрической энергии по договору энергоснабжения или перед садоводческим или огородническим некоммерческим товариществом ввиду неисполнения или ненадлежащего исполнения обязательств по оплате части стоимости электрической энергии, потребленной при использовании имущества общего пользования садоводческого или огороднического некоммерческого товарищества, и части потерь электрической энергии, возникших в объектах электросетевого хозяйства, принадлежащих садоводческому или огородническому некоммерческому товариществу;</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170"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21.12.2018 N 1622)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76" w:name="Par3716"/>
      <w:bookmarkEnd w:id="276"/>
      <w:r>
        <w:rPr>
          <w:rFonts w:ascii="Arial" w:hAnsi="Arial" w:cs="Arial"/>
          <w:sz w:val="20"/>
          <w:szCs w:val="20"/>
        </w:rPr>
        <w:t>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77" w:name="Par3717"/>
      <w:bookmarkEnd w:id="277"/>
      <w:r>
        <w:rPr>
          <w:rFonts w:ascii="Arial" w:hAnsi="Arial" w:cs="Arial"/>
          <w:sz w:val="20"/>
          <w:szCs w:val="20"/>
        </w:rPr>
        <w:t>г) выявление факта бездоговорного потребления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78" w:name="Par3718"/>
      <w:bookmarkEnd w:id="278"/>
      <w:r>
        <w:rPr>
          <w:rFonts w:ascii="Arial" w:hAnsi="Arial" w:cs="Arial"/>
          <w:sz w:val="20"/>
          <w:szCs w:val="20"/>
        </w:rPr>
        <w:t xml:space="preserve">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w:t>
      </w:r>
      <w:hyperlink r:id="rId1171" w:history="1">
        <w:r>
          <w:rPr>
            <w:rFonts w:ascii="Arial" w:hAnsi="Arial" w:cs="Arial"/>
            <w:color w:val="0000FF"/>
            <w:sz w:val="20"/>
            <w:szCs w:val="20"/>
          </w:rPr>
          <w:t>Основными положениями</w:t>
        </w:r>
      </w:hyperlink>
      <w:r>
        <w:rPr>
          <w:rFonts w:ascii="Arial" w:hAnsi="Arial" w:cs="Arial"/>
          <w:sz w:val="20"/>
          <w:szCs w:val="20"/>
        </w:rPr>
        <w:t xml:space="preserve"> функционирования розничных рынков электрической энергии, утвержденными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(далее - Основные положения), договор энергоснабжения (купли-продажи (поставки) электрической энергии (мощности)) при отсутствии документов, подтверждающих технологическое присоединение и (или) разграничение балансовой принадлежности;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79" w:name="Par3719"/>
      <w:bookmarkEnd w:id="279"/>
      <w:r>
        <w:rPr>
          <w:rFonts w:ascii="Arial" w:hAnsi="Arial" w:cs="Arial"/>
          <w:sz w:val="20"/>
          <w:szCs w:val="20"/>
        </w:rPr>
        <w:t>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80" w:name="Par3720"/>
      <w:bookmarkEnd w:id="280"/>
      <w:r>
        <w:rPr>
          <w:rFonts w:ascii="Arial" w:hAnsi="Arial" w:cs="Arial"/>
          <w:sz w:val="20"/>
          <w:szCs w:val="20"/>
        </w:rPr>
        <w:lastRenderedPageBreak/>
        <w:t>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81" w:name="Par3721"/>
      <w:bookmarkEnd w:id="281"/>
      <w:r>
        <w:rPr>
          <w:rFonts w:ascii="Arial" w:hAnsi="Arial" w:cs="Arial"/>
          <w:sz w:val="20"/>
          <w:szCs w:val="20"/>
        </w:rPr>
        <w:t>з) возникновение (угроза возникновения) аварийных электроэнергетических режимов;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82" w:name="Par3722"/>
      <w:bookmarkEnd w:id="282"/>
      <w:r>
        <w:rPr>
          <w:rFonts w:ascii="Arial" w:hAnsi="Arial" w:cs="Arial"/>
          <w:sz w:val="20"/>
          <w:szCs w:val="20"/>
        </w:rPr>
        <w:t>и) необходимость проведения ремонтных работ на объектах электросетевого хозяйства сетевой организации, к которым присоединены энергопринимающие устройства и (или) объекты электроэнергетики потребителя, или необходимость проведения ремонтных работ на объектах электросетевого хозяйства смежных сетевых организаций (объектах электросетевого хозяйства иных владельцев) либо на объектах по производству электрической энергии в случае, если проведение этих работ невозможно без ограничения режима потребления.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 в ред. </w:t>
      </w:r>
      <w:hyperlink r:id="rId1172"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Ограничение режима потребления, за исключением вводимого в связи с наступлением обстоятельств, указанных в </w:t>
      </w:r>
      <w:hyperlink w:anchor="Par3721" w:history="1">
        <w:r>
          <w:rPr>
            <w:rFonts w:ascii="Arial" w:hAnsi="Arial" w:cs="Arial"/>
            <w:color w:val="0000FF"/>
            <w:sz w:val="20"/>
            <w:szCs w:val="20"/>
          </w:rPr>
          <w:t>подпунктах "з"</w:t>
        </w:r>
      </w:hyperlink>
      <w:r>
        <w:rPr>
          <w:rFonts w:ascii="Arial" w:hAnsi="Arial" w:cs="Arial"/>
          <w:sz w:val="20"/>
          <w:szCs w:val="20"/>
        </w:rPr>
        <w:t xml:space="preserve"> и </w:t>
      </w:r>
      <w:hyperlink w:anchor="Par3722" w:history="1">
        <w:r>
          <w:rPr>
            <w:rFonts w:ascii="Arial" w:hAnsi="Arial" w:cs="Arial"/>
            <w:color w:val="0000FF"/>
            <w:sz w:val="20"/>
            <w:szCs w:val="20"/>
          </w:rPr>
          <w:t>"и" пункта 2</w:t>
        </w:r>
      </w:hyperlink>
      <w:r>
        <w:rPr>
          <w:rFonts w:ascii="Arial" w:hAnsi="Arial" w:cs="Arial"/>
          <w:sz w:val="20"/>
          <w:szCs w:val="20"/>
        </w:rPr>
        <w:t xml:space="preserve"> настоящих Правил, должно применяться индивидуально в отношении каждого потребителя при условии соблюдения прав и законных интересов иных потребителей, энергопринимающие устройства и (или) объекты электроэнергетики которых технологически присоединены к тем же объектам электросетевого хозяйства сетевой организации или иного лица, к которым присоединены энергопринимающие устройства и (или) объекты электроэнергетики потребителя, в отношении которых вводится ограничение режима потребления, либо к энергопринимающим устройствам и (или) объектам электроэнергетики этого потребителя.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если введение ограничения режима потребления в отношении лица, владеющего энергопринимающими устройствами и (или) объектами электроэнергетики, к которым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это лицо обязано обеспечить переток электрической энергии таким потребителям в объеме их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Ограничение режима потребления энергопринимающими устройствами и (или) объектами электроэнергетики, в отношении которых предоставлено обеспечение исполнения обязательств по оплате электрической энергии (мощности), в связи с наступлением обстоятельств, указанных в </w:t>
      </w:r>
      <w:hyperlink w:anchor="Par3709" w:history="1">
        <w:r>
          <w:rPr>
            <w:rFonts w:ascii="Arial" w:hAnsi="Arial" w:cs="Arial"/>
            <w:color w:val="0000FF"/>
            <w:sz w:val="20"/>
            <w:szCs w:val="20"/>
          </w:rPr>
          <w:t>абзацах втором</w:t>
        </w:r>
      </w:hyperlink>
      <w:r>
        <w:rPr>
          <w:rFonts w:ascii="Arial" w:hAnsi="Arial" w:cs="Arial"/>
          <w:sz w:val="20"/>
          <w:szCs w:val="20"/>
        </w:rPr>
        <w:t xml:space="preserve"> и </w:t>
      </w:r>
      <w:hyperlink w:anchor="Par3710" w:history="1">
        <w:r>
          <w:rPr>
            <w:rFonts w:ascii="Arial" w:hAnsi="Arial" w:cs="Arial"/>
            <w:color w:val="0000FF"/>
            <w:sz w:val="20"/>
            <w:szCs w:val="20"/>
          </w:rPr>
          <w:t>третьем подпункта "б" пункта 2</w:t>
        </w:r>
      </w:hyperlink>
      <w:r>
        <w:rPr>
          <w:rFonts w:ascii="Arial" w:hAnsi="Arial" w:cs="Arial"/>
          <w:sz w:val="20"/>
          <w:szCs w:val="20"/>
        </w:rPr>
        <w:t xml:space="preserve"> настоящих Правил, не вводится до прекращения действия предоставленного обеспечения исполнения обязательств по оплате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если в результате введения в соответствии с </w:t>
      </w:r>
      <w:hyperlink w:anchor="Par3735" w:history="1">
        <w:r>
          <w:rPr>
            <w:rFonts w:ascii="Arial" w:hAnsi="Arial" w:cs="Arial"/>
            <w:color w:val="0000FF"/>
            <w:sz w:val="20"/>
            <w:szCs w:val="20"/>
          </w:rPr>
          <w:t>разделом II</w:t>
        </w:r>
      </w:hyperlink>
      <w:r>
        <w:rPr>
          <w:rFonts w:ascii="Arial" w:hAnsi="Arial" w:cs="Arial"/>
          <w:sz w:val="20"/>
          <w:szCs w:val="20"/>
        </w:rPr>
        <w:t xml:space="preserve"> настоящих Правил ограничения режима потребления в отношении энергопринимающих устройств и (или) объектов электроэнергетики, используемых для производства и (или) поставки товаров (работ, услуг), прекращается производство и (или) поставка таких товаров (работ, услуг), ответственность перед потребителями этих товаров (работ, услуг) несет в порядке, установленном законодательством Российской Федерации, собственник или иной законный владелец указанных устройств и (или) объектов, за исключением случаев: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когда такое ограничение режима потребления признано в установленном порядке незаконным;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когда такое ограничение режима потребления признано инициатором введения ограничения необоснованным;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совершения исполнителем (субисполнителем) действий по введению ограничения режима потребления в нарушение настоящих Правил, если это выразилось в досрочном введении такого ограничения либо во введении частичного ограничения режима потребления до уровня, величина которого менее величины, указанной в уведомлении о необходимости введения ограничения режима потребления.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3 в ред. </w:t>
      </w:r>
      <w:hyperlink r:id="rId1173"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3(1). Уровни технологической и аварийной брони при введении ограничения режима потребления в соответствии с требованиями </w:t>
      </w:r>
      <w:hyperlink w:anchor="Par3735" w:history="1">
        <w:r>
          <w:rPr>
            <w:rFonts w:ascii="Arial" w:hAnsi="Arial" w:cs="Arial"/>
            <w:color w:val="0000FF"/>
            <w:sz w:val="20"/>
            <w:szCs w:val="20"/>
          </w:rPr>
          <w:t>разделов II</w:t>
        </w:r>
      </w:hyperlink>
      <w:r>
        <w:rPr>
          <w:rFonts w:ascii="Arial" w:hAnsi="Arial" w:cs="Arial"/>
          <w:sz w:val="20"/>
          <w:szCs w:val="20"/>
        </w:rPr>
        <w:t xml:space="preserve"> и </w:t>
      </w:r>
      <w:hyperlink w:anchor="Par4097" w:history="1">
        <w:r>
          <w:rPr>
            <w:rFonts w:ascii="Arial" w:hAnsi="Arial" w:cs="Arial"/>
            <w:color w:val="0000FF"/>
            <w:sz w:val="20"/>
            <w:szCs w:val="20"/>
          </w:rPr>
          <w:t>IV</w:t>
        </w:r>
      </w:hyperlink>
      <w:r>
        <w:rPr>
          <w:rFonts w:ascii="Arial" w:hAnsi="Arial" w:cs="Arial"/>
          <w:sz w:val="20"/>
          <w:szCs w:val="20"/>
        </w:rPr>
        <w:t xml:space="preserve"> настоящих Правил учитываются в случаях и порядке, которые установлены настоящими Правилами.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3(1) введен </w:t>
      </w:r>
      <w:hyperlink r:id="rId1174"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bookmarkStart w:id="283" w:name="Par3735"/>
      <w:bookmarkEnd w:id="283"/>
      <w:r>
        <w:rPr>
          <w:rFonts w:ascii="Arial" w:eastAsiaTheme="minorHAnsi" w:hAnsi="Arial" w:cs="Arial"/>
          <w:color w:val="auto"/>
          <w:sz w:val="20"/>
          <w:szCs w:val="20"/>
        </w:rPr>
        <w:t>II. Порядок ограничения режима потребления</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по обстоятельствам, не связанным с необходимостью</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проведения ремонтных работ на объектах электроэнергетики</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или с возникновением (угрозой возникновения)</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lastRenderedPageBreak/>
        <w:t>аварийных электроэнергетических режимов</w:t>
      </w: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(в ред. </w:t>
      </w:r>
      <w:hyperlink r:id="rId1175"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bookmarkStart w:id="284" w:name="Par3742"/>
      <w:bookmarkEnd w:id="284"/>
      <w:r>
        <w:rPr>
          <w:rFonts w:ascii="Arial" w:hAnsi="Arial" w:cs="Arial"/>
          <w:sz w:val="20"/>
          <w:szCs w:val="20"/>
        </w:rPr>
        <w:t>4. Ограничение режима потребления вводится по инициативе: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а) гарантирующего поставщика (энергосбытовой, энергоснабжающей организации, производителя электрической энергии (мощности) на розничном рынке), с которым заключен договор энергоснабжения (купли-продажи (поставки) электрической энергии (мощности)), - в связи с наступлением обстоятельств, указанных в </w:t>
      </w:r>
      <w:hyperlink w:anchor="Par3709" w:history="1">
        <w:r>
          <w:rPr>
            <w:rFonts w:ascii="Arial" w:hAnsi="Arial" w:cs="Arial"/>
            <w:color w:val="0000FF"/>
            <w:sz w:val="20"/>
            <w:szCs w:val="20"/>
          </w:rPr>
          <w:t>абзацах втором</w:t>
        </w:r>
      </w:hyperlink>
      <w:r>
        <w:rPr>
          <w:rFonts w:ascii="Arial" w:hAnsi="Arial" w:cs="Arial"/>
          <w:sz w:val="20"/>
          <w:szCs w:val="20"/>
        </w:rPr>
        <w:t xml:space="preserve"> и </w:t>
      </w:r>
      <w:hyperlink w:anchor="Par3711" w:history="1">
        <w:r>
          <w:rPr>
            <w:rFonts w:ascii="Arial" w:hAnsi="Arial" w:cs="Arial"/>
            <w:color w:val="0000FF"/>
            <w:sz w:val="20"/>
            <w:szCs w:val="20"/>
          </w:rPr>
          <w:t>четвертом подпункта "б" пункта 2</w:t>
        </w:r>
      </w:hyperlink>
      <w:r>
        <w:rPr>
          <w:rFonts w:ascii="Arial" w:hAnsi="Arial" w:cs="Arial"/>
          <w:sz w:val="20"/>
          <w:szCs w:val="20"/>
        </w:rPr>
        <w:t xml:space="preserve"> настоящих Правил;</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б) гарантирующего поставщика, с которым заключен договор энергоснабжения (купли-продажи (поставки) электрической энергии (мощности)) при отсутствии документов, подтверждающих технологическое присоединение и (или) разграничение балансовой принадлежности, - в связи с наступлением обстоятельств, указанных в </w:t>
      </w:r>
      <w:hyperlink w:anchor="Par3718" w:history="1">
        <w:r>
          <w:rPr>
            <w:rFonts w:ascii="Arial" w:hAnsi="Arial" w:cs="Arial"/>
            <w:color w:val="0000FF"/>
            <w:sz w:val="20"/>
            <w:szCs w:val="20"/>
          </w:rPr>
          <w:t>подпункте "д" пункта 2</w:t>
        </w:r>
      </w:hyperlink>
      <w:r>
        <w:rPr>
          <w:rFonts w:ascii="Arial" w:hAnsi="Arial" w:cs="Arial"/>
          <w:sz w:val="20"/>
          <w:szCs w:val="20"/>
        </w:rPr>
        <w:t xml:space="preserve"> настоящих Правил;</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гарантирующего поставщика (энергосбытовой, энергоснабжающей организации), выявившего факт бездоговорного потребления электрической энергии, - в связи с наступлением обстоятельств, указанных в </w:t>
      </w:r>
      <w:hyperlink w:anchor="Par3717" w:history="1">
        <w:r>
          <w:rPr>
            <w:rFonts w:ascii="Arial" w:hAnsi="Arial" w:cs="Arial"/>
            <w:color w:val="0000FF"/>
            <w:sz w:val="20"/>
            <w:szCs w:val="20"/>
          </w:rPr>
          <w:t>подпункте "г" пункта 2</w:t>
        </w:r>
      </w:hyperlink>
      <w:r>
        <w:rPr>
          <w:rFonts w:ascii="Arial" w:hAnsi="Arial" w:cs="Arial"/>
          <w:sz w:val="20"/>
          <w:szCs w:val="20"/>
        </w:rPr>
        <w:t xml:space="preserve"> настоящих Правил, и если сетевая организация не присутствовала при проведении указанным лицом проверки, в результате которой выявлено бездоговорное потребление;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в(1)) гарантирующего поставщика (энергосбытовой, энергоснабжающей организации), с которым заключен договор энергоснабжения, либо садоводческого или огороднического некоммерческого товарищества - в связи с наступлением обстоятельств, указанных в </w:t>
      </w:r>
      <w:hyperlink w:anchor="Par3714" w:history="1">
        <w:r>
          <w:rPr>
            <w:rFonts w:ascii="Arial" w:hAnsi="Arial" w:cs="Arial"/>
            <w:color w:val="0000FF"/>
            <w:sz w:val="20"/>
            <w:szCs w:val="20"/>
          </w:rPr>
          <w:t>абзаце шестом подпункта "б" пункта 2</w:t>
        </w:r>
      </w:hyperlink>
      <w:r>
        <w:rPr>
          <w:rFonts w:ascii="Arial" w:hAnsi="Arial" w:cs="Arial"/>
          <w:sz w:val="20"/>
          <w:szCs w:val="20"/>
        </w:rPr>
        <w:t xml:space="preserve"> настоящих Правил;</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(пп. "в(1)" введен </w:t>
      </w:r>
      <w:hyperlink r:id="rId1176"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10.11.2017 N 1351; в ред. </w:t>
      </w:r>
      <w:hyperlink r:id="rId1177"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21.12.2018 N 1622)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г) сетевой организации, оказывающей потребителю услуги по передаче электрической энергии в точке, точках поставки, сформированных в отношении энергопринимающих устройств и (или) объектов электроэнергетики, в отношении которых требуется введение ограничения режима потребления, - в связи с наступлением обстоятельств, указанных в </w:t>
      </w:r>
      <w:hyperlink w:anchor="Par3710" w:history="1">
        <w:r>
          <w:rPr>
            <w:rFonts w:ascii="Arial" w:hAnsi="Arial" w:cs="Arial"/>
            <w:color w:val="0000FF"/>
            <w:sz w:val="20"/>
            <w:szCs w:val="20"/>
          </w:rPr>
          <w:t>абзацах третьем</w:t>
        </w:r>
      </w:hyperlink>
      <w:r>
        <w:rPr>
          <w:rFonts w:ascii="Arial" w:hAnsi="Arial" w:cs="Arial"/>
          <w:sz w:val="20"/>
          <w:szCs w:val="20"/>
        </w:rPr>
        <w:t xml:space="preserve">, </w:t>
      </w:r>
      <w:hyperlink w:anchor="Par3711" w:history="1">
        <w:r>
          <w:rPr>
            <w:rFonts w:ascii="Arial" w:hAnsi="Arial" w:cs="Arial"/>
            <w:color w:val="0000FF"/>
            <w:sz w:val="20"/>
            <w:szCs w:val="20"/>
          </w:rPr>
          <w:t>четвертом</w:t>
        </w:r>
      </w:hyperlink>
      <w:r>
        <w:rPr>
          <w:rFonts w:ascii="Arial" w:hAnsi="Arial" w:cs="Arial"/>
          <w:sz w:val="20"/>
          <w:szCs w:val="20"/>
        </w:rPr>
        <w:t xml:space="preserve"> и </w:t>
      </w:r>
      <w:hyperlink w:anchor="Par3713" w:history="1">
        <w:r>
          <w:rPr>
            <w:rFonts w:ascii="Arial" w:hAnsi="Arial" w:cs="Arial"/>
            <w:color w:val="0000FF"/>
            <w:sz w:val="20"/>
            <w:szCs w:val="20"/>
          </w:rPr>
          <w:t>пятом подпункта "б"</w:t>
        </w:r>
      </w:hyperlink>
      <w:r>
        <w:rPr>
          <w:rFonts w:ascii="Arial" w:hAnsi="Arial" w:cs="Arial"/>
          <w:sz w:val="20"/>
          <w:szCs w:val="20"/>
        </w:rPr>
        <w:t xml:space="preserve"> и </w:t>
      </w:r>
      <w:hyperlink w:anchor="Par3716" w:history="1">
        <w:r>
          <w:rPr>
            <w:rFonts w:ascii="Arial" w:hAnsi="Arial" w:cs="Arial"/>
            <w:color w:val="0000FF"/>
            <w:sz w:val="20"/>
            <w:szCs w:val="20"/>
          </w:rPr>
          <w:t>подпункте "в" пункта 2</w:t>
        </w:r>
      </w:hyperlink>
      <w:r>
        <w:rPr>
          <w:rFonts w:ascii="Arial" w:hAnsi="Arial" w:cs="Arial"/>
          <w:sz w:val="20"/>
          <w:szCs w:val="20"/>
        </w:rPr>
        <w:t xml:space="preserve"> настоящих Правил;</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д) сетевой организации либо иного лица,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либо сетевой организации, которая в соответствии с Основными положениями обязана принимать меры по сокращению уровня или прекращению потребления электрической энергии, - в связи с наступлением обстоятельств, указанных в </w:t>
      </w:r>
      <w:hyperlink w:anchor="Par3717" w:history="1">
        <w:r>
          <w:rPr>
            <w:rFonts w:ascii="Arial" w:hAnsi="Arial" w:cs="Arial"/>
            <w:color w:val="0000FF"/>
            <w:sz w:val="20"/>
            <w:szCs w:val="20"/>
          </w:rPr>
          <w:t>подпункте "г" пункта 2</w:t>
        </w:r>
      </w:hyperlink>
      <w:r>
        <w:rPr>
          <w:rFonts w:ascii="Arial" w:hAnsi="Arial" w:cs="Arial"/>
          <w:sz w:val="20"/>
          <w:szCs w:val="20"/>
        </w:rPr>
        <w:t xml:space="preserve"> настоящих Правил;</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е) сетевой организации либо иного лица, к энергопринимающим устройствам и (или) объектам электроэнергетики которых технологически присоединены энергопринимающие устройства и (или) объекты электроэнергетики потребителя, - в связи с наступлением обстоятельств, указанных в </w:t>
      </w:r>
      <w:hyperlink w:anchor="Par3707" w:history="1">
        <w:r>
          <w:rPr>
            <w:rFonts w:ascii="Arial" w:hAnsi="Arial" w:cs="Arial"/>
            <w:color w:val="0000FF"/>
            <w:sz w:val="20"/>
            <w:szCs w:val="20"/>
          </w:rPr>
          <w:t>подпунктах "а"</w:t>
        </w:r>
      </w:hyperlink>
      <w:r>
        <w:rPr>
          <w:rFonts w:ascii="Arial" w:hAnsi="Arial" w:cs="Arial"/>
          <w:sz w:val="20"/>
          <w:szCs w:val="20"/>
        </w:rPr>
        <w:t xml:space="preserve"> и </w:t>
      </w:r>
      <w:hyperlink w:anchor="Par3720" w:history="1">
        <w:r>
          <w:rPr>
            <w:rFonts w:ascii="Arial" w:hAnsi="Arial" w:cs="Arial"/>
            <w:color w:val="0000FF"/>
            <w:sz w:val="20"/>
            <w:szCs w:val="20"/>
          </w:rPr>
          <w:t>"ж" пункта 2</w:t>
        </w:r>
      </w:hyperlink>
      <w:r>
        <w:rPr>
          <w:rFonts w:ascii="Arial" w:hAnsi="Arial" w:cs="Arial"/>
          <w:sz w:val="20"/>
          <w:szCs w:val="20"/>
        </w:rPr>
        <w:t xml:space="preserve"> настоящих Правил;</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ж) потребителя, у которого отсутствует техническая возможность самостоятельного ограничения режима потребления, - в связи с наступлением обстоятельства, указанного в </w:t>
      </w:r>
      <w:hyperlink w:anchor="Par3719" w:history="1">
        <w:r>
          <w:rPr>
            <w:rFonts w:ascii="Arial" w:hAnsi="Arial" w:cs="Arial"/>
            <w:color w:val="0000FF"/>
            <w:sz w:val="20"/>
            <w:szCs w:val="20"/>
          </w:rPr>
          <w:t>подпункте "е" пункта 2</w:t>
        </w:r>
      </w:hyperlink>
      <w:r>
        <w:rPr>
          <w:rFonts w:ascii="Arial" w:hAnsi="Arial" w:cs="Arial"/>
          <w:sz w:val="20"/>
          <w:szCs w:val="20"/>
        </w:rPr>
        <w:t xml:space="preserve"> настоящих Правил.</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4 в ред. </w:t>
      </w:r>
      <w:hyperlink r:id="rId1178"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85" w:name="Par3753"/>
      <w:bookmarkEnd w:id="285"/>
      <w:r>
        <w:rPr>
          <w:rFonts w:ascii="Arial" w:hAnsi="Arial" w:cs="Arial"/>
          <w:sz w:val="20"/>
          <w:szCs w:val="20"/>
        </w:rPr>
        <w:t xml:space="preserve">5. Частичное ограничение режима потребления вводится в отношении энергопринимающих устройств и (или) объектов электроэнергетики потребителей, имеющих в отношении этих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при этом в связи с наступлением обстоятельств, указанных в </w:t>
      </w:r>
      <w:hyperlink w:anchor="Par3718" w:history="1">
        <w:r>
          <w:rPr>
            <w:rFonts w:ascii="Arial" w:hAnsi="Arial" w:cs="Arial"/>
            <w:color w:val="0000FF"/>
            <w:sz w:val="20"/>
            <w:szCs w:val="20"/>
          </w:rPr>
          <w:t>подпунктах "д"</w:t>
        </w:r>
      </w:hyperlink>
      <w:r>
        <w:rPr>
          <w:rFonts w:ascii="Arial" w:hAnsi="Arial" w:cs="Arial"/>
          <w:sz w:val="20"/>
          <w:szCs w:val="20"/>
        </w:rPr>
        <w:t xml:space="preserve"> и </w:t>
      </w:r>
      <w:hyperlink w:anchor="Par3720" w:history="1">
        <w:r>
          <w:rPr>
            <w:rFonts w:ascii="Arial" w:hAnsi="Arial" w:cs="Arial"/>
            <w:color w:val="0000FF"/>
            <w:sz w:val="20"/>
            <w:szCs w:val="20"/>
          </w:rPr>
          <w:t>"ж" пункта 2</w:t>
        </w:r>
      </w:hyperlink>
      <w:r>
        <w:rPr>
          <w:rFonts w:ascii="Arial" w:hAnsi="Arial" w:cs="Arial"/>
          <w:sz w:val="20"/>
          <w:szCs w:val="20"/>
        </w:rPr>
        <w:t xml:space="preserve"> настоящих Правил, частичное ограничение режима потребления не вводится.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связи с наступлением обстоятельств, указанных в </w:t>
      </w:r>
      <w:hyperlink w:anchor="Par3707" w:history="1">
        <w:r>
          <w:rPr>
            <w:rFonts w:ascii="Arial" w:hAnsi="Arial" w:cs="Arial"/>
            <w:color w:val="0000FF"/>
            <w:sz w:val="20"/>
            <w:szCs w:val="20"/>
          </w:rPr>
          <w:t>подпункте "а"</w:t>
        </w:r>
      </w:hyperlink>
      <w:r>
        <w:rPr>
          <w:rFonts w:ascii="Arial" w:hAnsi="Arial" w:cs="Arial"/>
          <w:sz w:val="20"/>
          <w:szCs w:val="20"/>
        </w:rPr>
        <w:t xml:space="preserve">, </w:t>
      </w:r>
      <w:hyperlink w:anchor="Par3711" w:history="1">
        <w:r>
          <w:rPr>
            <w:rFonts w:ascii="Arial" w:hAnsi="Arial" w:cs="Arial"/>
            <w:color w:val="0000FF"/>
            <w:sz w:val="20"/>
            <w:szCs w:val="20"/>
          </w:rPr>
          <w:t>абзацах четвертом</w:t>
        </w:r>
      </w:hyperlink>
      <w:r>
        <w:rPr>
          <w:rFonts w:ascii="Arial" w:hAnsi="Arial" w:cs="Arial"/>
          <w:sz w:val="20"/>
          <w:szCs w:val="20"/>
        </w:rPr>
        <w:t xml:space="preserve"> и </w:t>
      </w:r>
      <w:hyperlink w:anchor="Par3713" w:history="1">
        <w:r>
          <w:rPr>
            <w:rFonts w:ascii="Arial" w:hAnsi="Arial" w:cs="Arial"/>
            <w:color w:val="0000FF"/>
            <w:sz w:val="20"/>
            <w:szCs w:val="20"/>
          </w:rPr>
          <w:t>пятом подпункта "б"</w:t>
        </w:r>
      </w:hyperlink>
      <w:r>
        <w:rPr>
          <w:rFonts w:ascii="Arial" w:hAnsi="Arial" w:cs="Arial"/>
          <w:sz w:val="20"/>
          <w:szCs w:val="20"/>
        </w:rPr>
        <w:t xml:space="preserve">, </w:t>
      </w:r>
      <w:hyperlink w:anchor="Par3716" w:history="1">
        <w:r>
          <w:rPr>
            <w:rFonts w:ascii="Arial" w:hAnsi="Arial" w:cs="Arial"/>
            <w:color w:val="0000FF"/>
            <w:sz w:val="20"/>
            <w:szCs w:val="20"/>
          </w:rPr>
          <w:t>подпунктах "в"</w:t>
        </w:r>
      </w:hyperlink>
      <w:r>
        <w:rPr>
          <w:rFonts w:ascii="Arial" w:hAnsi="Arial" w:cs="Arial"/>
          <w:sz w:val="20"/>
          <w:szCs w:val="20"/>
        </w:rPr>
        <w:t xml:space="preserve">, </w:t>
      </w:r>
      <w:hyperlink w:anchor="Par3717" w:history="1">
        <w:r>
          <w:rPr>
            <w:rFonts w:ascii="Arial" w:hAnsi="Arial" w:cs="Arial"/>
            <w:color w:val="0000FF"/>
            <w:sz w:val="20"/>
            <w:szCs w:val="20"/>
          </w:rPr>
          <w:t>"г"</w:t>
        </w:r>
      </w:hyperlink>
      <w:r>
        <w:rPr>
          <w:rFonts w:ascii="Arial" w:hAnsi="Arial" w:cs="Arial"/>
          <w:sz w:val="20"/>
          <w:szCs w:val="20"/>
        </w:rPr>
        <w:t xml:space="preserve"> и </w:t>
      </w:r>
      <w:hyperlink w:anchor="Par3719" w:history="1">
        <w:r>
          <w:rPr>
            <w:rFonts w:ascii="Arial" w:hAnsi="Arial" w:cs="Arial"/>
            <w:color w:val="0000FF"/>
            <w:sz w:val="20"/>
            <w:szCs w:val="20"/>
          </w:rPr>
          <w:t>"е" пункта 2</w:t>
        </w:r>
      </w:hyperlink>
      <w:r>
        <w:rPr>
          <w:rFonts w:ascii="Arial" w:hAnsi="Arial" w:cs="Arial"/>
          <w:sz w:val="20"/>
          <w:szCs w:val="20"/>
        </w:rPr>
        <w:t xml:space="preserve"> настоящих Правил, частичное ограничение режима потребления вводится с учетом особенностей, предусмотренных </w:t>
      </w:r>
      <w:hyperlink w:anchor="Par4019" w:history="1">
        <w:r>
          <w:rPr>
            <w:rFonts w:ascii="Arial" w:hAnsi="Arial" w:cs="Arial"/>
            <w:color w:val="0000FF"/>
            <w:sz w:val="20"/>
            <w:szCs w:val="20"/>
          </w:rPr>
          <w:t>пунктами 22</w:t>
        </w:r>
      </w:hyperlink>
      <w:r>
        <w:rPr>
          <w:rFonts w:ascii="Arial" w:hAnsi="Arial" w:cs="Arial"/>
          <w:sz w:val="20"/>
          <w:szCs w:val="20"/>
        </w:rPr>
        <w:t xml:space="preserve"> - </w:t>
      </w:r>
      <w:hyperlink w:anchor="Par4031" w:history="1">
        <w:r>
          <w:rPr>
            <w:rFonts w:ascii="Arial" w:hAnsi="Arial" w:cs="Arial"/>
            <w:color w:val="0000FF"/>
            <w:sz w:val="20"/>
            <w:szCs w:val="20"/>
          </w:rPr>
          <w:t>24</w:t>
        </w:r>
      </w:hyperlink>
      <w:r>
        <w:rPr>
          <w:rFonts w:ascii="Arial" w:hAnsi="Arial" w:cs="Arial"/>
          <w:sz w:val="20"/>
          <w:szCs w:val="20"/>
        </w:rPr>
        <w:t xml:space="preserve"> и </w:t>
      </w:r>
      <w:hyperlink w:anchor="Par4044" w:history="1">
        <w:r>
          <w:rPr>
            <w:rFonts w:ascii="Arial" w:hAnsi="Arial" w:cs="Arial"/>
            <w:color w:val="0000FF"/>
            <w:sz w:val="20"/>
            <w:szCs w:val="20"/>
          </w:rPr>
          <w:t>26</w:t>
        </w:r>
      </w:hyperlink>
      <w:r>
        <w:rPr>
          <w:rFonts w:ascii="Arial" w:hAnsi="Arial" w:cs="Arial"/>
          <w:sz w:val="20"/>
          <w:szCs w:val="20"/>
        </w:rPr>
        <w:t xml:space="preserve"> настоящих Правил.</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В отношении энергопринимающих устройств и (или) объектов электроэнергетики потребителя,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ограничение режима потребления до уровня аварийной брони в случаях, предусмотренных </w:t>
      </w:r>
      <w:hyperlink w:anchor="Par3707" w:history="1">
        <w:r>
          <w:rPr>
            <w:rFonts w:ascii="Arial" w:hAnsi="Arial" w:cs="Arial"/>
            <w:color w:val="0000FF"/>
            <w:sz w:val="20"/>
            <w:szCs w:val="20"/>
          </w:rPr>
          <w:t>подпунктами "а"</w:t>
        </w:r>
      </w:hyperlink>
      <w:r>
        <w:rPr>
          <w:rFonts w:ascii="Arial" w:hAnsi="Arial" w:cs="Arial"/>
          <w:sz w:val="20"/>
          <w:szCs w:val="20"/>
        </w:rPr>
        <w:t xml:space="preserve"> - </w:t>
      </w:r>
      <w:hyperlink w:anchor="Par3720" w:history="1">
        <w:r>
          <w:rPr>
            <w:rFonts w:ascii="Arial" w:hAnsi="Arial" w:cs="Arial"/>
            <w:color w:val="0000FF"/>
            <w:sz w:val="20"/>
            <w:szCs w:val="20"/>
          </w:rPr>
          <w:t>"ж" пункта 2</w:t>
        </w:r>
      </w:hyperlink>
      <w:r>
        <w:rPr>
          <w:rFonts w:ascii="Arial" w:hAnsi="Arial" w:cs="Arial"/>
          <w:sz w:val="20"/>
          <w:szCs w:val="20"/>
        </w:rPr>
        <w:t xml:space="preserve"> настоящих Правил, не вводится.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отношении энергопринимающих устройств и (или) объектов электроэнергетики потребителя,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вводится частичное ограничение режима потребления до уровня технологической брони, указанного в данном акте, не ранее чем по истечении 10 дней после дня уведомления о введении ограничения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указаны уровни технологической и аварийной брони, частичное ограничение режима потребления до уровня аварийной брони, указанного в данном акте, вводится по истечении 5 дней (если иной срок не установлен актом согласования технологической и (или) аварийной брони) после дня введения частичного ограничения режима потребления до уровня технологической брони.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 уровень технологической брони, частичное ограничение режима потребления до уровня аварийной брони, указанного в данном акте, вводится не ранее чем по истечении 10 дней после дня уведомления такого потребителя о введении ограничения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если введение частичного ограничения режима потребления в отношении энергопринимающих устройств и (или) объектов электроэнергетики лица, к которым технологически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в отношении такого лица вводится частичное ограничение режима потребления в соответствии с настоящим пунктом до уровня, определенного инициатором введения ограничения для каждого часа путем суммирования следующих величин:</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предельный объем потребления электрической энергии указанными потребителями в соответствующий час, определяемый путем умножения максимальной мощности энергопринимающих устройств таких потребителей на один час;</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величина потерь электрической энергии в объектах электросетевого хозяйства лица, в отношении энергопринимающих устройств и (или) объектов электроэнергетики которого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электрической энергии указанными потребителями в соответствующий час, и величины, которая является наименьшей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технологических потерь электрической энергии при ее передаче по электрическим сетям данного лица, и величины в размере 10 процентов предельного объема потребления электрической энергии указанными потребителями в соответствующий час);</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уровень технологической или аварийной брони, умноженный на один час.</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Исполнитель (субисполнитель) обязан ввести частичное ограничение режима потребления со своих объектов электросетевого хозяйства.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связи с наступлением обстоятельств, указанных в </w:t>
      </w:r>
      <w:hyperlink w:anchor="Par3708" w:history="1">
        <w:r>
          <w:rPr>
            <w:rFonts w:ascii="Arial" w:hAnsi="Arial" w:cs="Arial"/>
            <w:color w:val="0000FF"/>
            <w:sz w:val="20"/>
            <w:szCs w:val="20"/>
          </w:rPr>
          <w:t>подпункте "б" пункта 2</w:t>
        </w:r>
      </w:hyperlink>
      <w:r>
        <w:rPr>
          <w:rFonts w:ascii="Arial" w:hAnsi="Arial" w:cs="Arial"/>
          <w:sz w:val="20"/>
          <w:szCs w:val="20"/>
        </w:rPr>
        <w:t xml:space="preserve"> настоящих Правил, частичное ограничение режима потребления вводится в отношении энергопринимающих устройств и (или) объектов электроэнергетики, в отношении которых заключен соответствующий договор, по всем точкам поставки, указанным в этом договоре, а в связи с наступлением обстоятельств, указанных в </w:t>
      </w:r>
      <w:hyperlink w:anchor="Par3716" w:history="1">
        <w:r>
          <w:rPr>
            <w:rFonts w:ascii="Arial" w:hAnsi="Arial" w:cs="Arial"/>
            <w:color w:val="0000FF"/>
            <w:sz w:val="20"/>
            <w:szCs w:val="20"/>
          </w:rPr>
          <w:t xml:space="preserve">подпункте "в" </w:t>
        </w:r>
        <w:r>
          <w:rPr>
            <w:rFonts w:ascii="Arial" w:hAnsi="Arial" w:cs="Arial"/>
            <w:color w:val="0000FF"/>
            <w:sz w:val="20"/>
            <w:szCs w:val="20"/>
          </w:rPr>
          <w:lastRenderedPageBreak/>
          <w:t>пункта 2</w:t>
        </w:r>
      </w:hyperlink>
      <w:r>
        <w:rPr>
          <w:rFonts w:ascii="Arial" w:hAnsi="Arial" w:cs="Arial"/>
          <w:sz w:val="20"/>
          <w:szCs w:val="20"/>
        </w:rPr>
        <w:t xml:space="preserve"> настоящих Правил, - по всем точкам поставки, указанным в договоре, прекращение обязательств по которому явилось основанием для введения этого ограничения.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5 в ред. </w:t>
      </w:r>
      <w:hyperlink r:id="rId1179"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86" w:name="Par3766"/>
      <w:bookmarkEnd w:id="286"/>
      <w:r>
        <w:rPr>
          <w:rFonts w:ascii="Arial" w:hAnsi="Arial" w:cs="Arial"/>
          <w:sz w:val="20"/>
          <w:szCs w:val="20"/>
        </w:rPr>
        <w:t>6.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в котором указан уровень технологической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вводится полное ограничение режима потребления по истечении 5 дней (если иной срок не установлен актом согласования технологической и (или) аварийной брони) после дня введения частичного ограничения режима потребления до уровня технологической брони.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полное ограничение режима потребления вводится в течение одного рабочего дня после дня получения исполнителем (субисполнителем) от указанного потребителя уведомления о готовности к введению полного ограничения режима потребления, предусмотренного </w:t>
      </w:r>
      <w:hyperlink w:anchor="Par3946" w:history="1">
        <w:r>
          <w:rPr>
            <w:rFonts w:ascii="Arial" w:hAnsi="Arial" w:cs="Arial"/>
            <w:color w:val="0000FF"/>
            <w:sz w:val="20"/>
            <w:szCs w:val="20"/>
          </w:rPr>
          <w:t>пунктом 16(1)</w:t>
        </w:r>
      </w:hyperlink>
      <w:r>
        <w:rPr>
          <w:rFonts w:ascii="Arial" w:hAnsi="Arial" w:cs="Arial"/>
          <w:sz w:val="20"/>
          <w:szCs w:val="20"/>
        </w:rPr>
        <w:t xml:space="preserve"> настоящих Правил.</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вводится полное ограничение режима потребления не ранее чем по истечении 10 дней после дня уведомления указанного потребителя о введении полного ограничения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связи с наступлением обстоятельств, указанных в </w:t>
      </w:r>
      <w:hyperlink w:anchor="Par3707" w:history="1">
        <w:r>
          <w:rPr>
            <w:rFonts w:ascii="Arial" w:hAnsi="Arial" w:cs="Arial"/>
            <w:color w:val="0000FF"/>
            <w:sz w:val="20"/>
            <w:szCs w:val="20"/>
          </w:rPr>
          <w:t>подпункте "а"</w:t>
        </w:r>
      </w:hyperlink>
      <w:r>
        <w:rPr>
          <w:rFonts w:ascii="Arial" w:hAnsi="Arial" w:cs="Arial"/>
          <w:sz w:val="20"/>
          <w:szCs w:val="20"/>
        </w:rPr>
        <w:t xml:space="preserve">, </w:t>
      </w:r>
      <w:hyperlink w:anchor="Par3711" w:history="1">
        <w:r>
          <w:rPr>
            <w:rFonts w:ascii="Arial" w:hAnsi="Arial" w:cs="Arial"/>
            <w:color w:val="0000FF"/>
            <w:sz w:val="20"/>
            <w:szCs w:val="20"/>
          </w:rPr>
          <w:t>абзацах четвертом</w:t>
        </w:r>
      </w:hyperlink>
      <w:r>
        <w:rPr>
          <w:rFonts w:ascii="Arial" w:hAnsi="Arial" w:cs="Arial"/>
          <w:sz w:val="20"/>
          <w:szCs w:val="20"/>
        </w:rPr>
        <w:t xml:space="preserve"> и </w:t>
      </w:r>
      <w:hyperlink w:anchor="Par3713" w:history="1">
        <w:r>
          <w:rPr>
            <w:rFonts w:ascii="Arial" w:hAnsi="Arial" w:cs="Arial"/>
            <w:color w:val="0000FF"/>
            <w:sz w:val="20"/>
            <w:szCs w:val="20"/>
          </w:rPr>
          <w:t>пятом подпункта "б"</w:t>
        </w:r>
      </w:hyperlink>
      <w:r>
        <w:rPr>
          <w:rFonts w:ascii="Arial" w:hAnsi="Arial" w:cs="Arial"/>
          <w:sz w:val="20"/>
          <w:szCs w:val="20"/>
        </w:rPr>
        <w:t xml:space="preserve">, </w:t>
      </w:r>
      <w:hyperlink w:anchor="Par3716" w:history="1">
        <w:r>
          <w:rPr>
            <w:rFonts w:ascii="Arial" w:hAnsi="Arial" w:cs="Arial"/>
            <w:color w:val="0000FF"/>
            <w:sz w:val="20"/>
            <w:szCs w:val="20"/>
          </w:rPr>
          <w:t>подпунктах "в"</w:t>
        </w:r>
      </w:hyperlink>
      <w:r>
        <w:rPr>
          <w:rFonts w:ascii="Arial" w:hAnsi="Arial" w:cs="Arial"/>
          <w:sz w:val="20"/>
          <w:szCs w:val="20"/>
        </w:rPr>
        <w:t xml:space="preserve"> - </w:t>
      </w:r>
      <w:hyperlink w:anchor="Par3720" w:history="1">
        <w:r>
          <w:rPr>
            <w:rFonts w:ascii="Arial" w:hAnsi="Arial" w:cs="Arial"/>
            <w:color w:val="0000FF"/>
            <w:sz w:val="20"/>
            <w:szCs w:val="20"/>
          </w:rPr>
          <w:t>"ж" пункта 2</w:t>
        </w:r>
      </w:hyperlink>
      <w:r>
        <w:rPr>
          <w:rFonts w:ascii="Arial" w:hAnsi="Arial" w:cs="Arial"/>
          <w:sz w:val="20"/>
          <w:szCs w:val="20"/>
        </w:rPr>
        <w:t xml:space="preserve"> настоящих Правил, полное ограничение режима потребления вводится с учетом особенностей, предусмотренных </w:t>
      </w:r>
      <w:hyperlink w:anchor="Par4019" w:history="1">
        <w:r>
          <w:rPr>
            <w:rFonts w:ascii="Arial" w:hAnsi="Arial" w:cs="Arial"/>
            <w:color w:val="0000FF"/>
            <w:sz w:val="20"/>
            <w:szCs w:val="20"/>
          </w:rPr>
          <w:t>пунктами 22</w:t>
        </w:r>
      </w:hyperlink>
      <w:r>
        <w:rPr>
          <w:rFonts w:ascii="Arial" w:hAnsi="Arial" w:cs="Arial"/>
          <w:sz w:val="20"/>
          <w:szCs w:val="20"/>
        </w:rPr>
        <w:t xml:space="preserve"> - </w:t>
      </w:r>
      <w:hyperlink w:anchor="Par4048" w:history="1">
        <w:r>
          <w:rPr>
            <w:rFonts w:ascii="Arial" w:hAnsi="Arial" w:cs="Arial"/>
            <w:color w:val="0000FF"/>
            <w:sz w:val="20"/>
            <w:szCs w:val="20"/>
          </w:rPr>
          <w:t>27</w:t>
        </w:r>
      </w:hyperlink>
      <w:r>
        <w:rPr>
          <w:rFonts w:ascii="Arial" w:hAnsi="Arial" w:cs="Arial"/>
          <w:sz w:val="20"/>
          <w:szCs w:val="20"/>
        </w:rPr>
        <w:t xml:space="preserve"> настоящих Правил.</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если введение полного ограничения режима потребления в отношении энергопринимающих устройств и (или) объектов электроэнергетики лица, к которым технологически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то при введении полного ограничения режима потребления в отношении указанных устройств и (или) объектов должен быть обеспечен уровень потребления электрической энергии иных потребителей, определенный инициатором введения ограничения для каждого часа путем суммирования следующих величин:</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предельный объем потребления электрической энергии указанными потребителями в соответствующий час, определяемый путем умножения максимальной мощности энергопринимающих устройств таких потребителей на один час;</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величина потерь электрической энергии в объектах электросетевого хозяйства лица, в отношении энергопринимающих устройств и (или) объектов электроэнергетики которого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электрической энергии указанными потребителями в соответствующий час, и величины, которая является наименьшей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технологических потерь электрической энергии при ее передаче по электрическим сетям данного лица, и величины в размере 10 процентов предельного объема потребления электрической энергии указанными потребителями в соответствующий час).</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Исполнитель (субисполнитель) обязан ввести полное ограничение режима потребления со своих объектов электросетевого хозяйства.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связи с наступлением обстоятельств, указанных в </w:t>
      </w:r>
      <w:hyperlink w:anchor="Par3708" w:history="1">
        <w:r>
          <w:rPr>
            <w:rFonts w:ascii="Arial" w:hAnsi="Arial" w:cs="Arial"/>
            <w:color w:val="0000FF"/>
            <w:sz w:val="20"/>
            <w:szCs w:val="20"/>
          </w:rPr>
          <w:t>подпункте "б" пункта 2</w:t>
        </w:r>
      </w:hyperlink>
      <w:r>
        <w:rPr>
          <w:rFonts w:ascii="Arial" w:hAnsi="Arial" w:cs="Arial"/>
          <w:sz w:val="20"/>
          <w:szCs w:val="20"/>
        </w:rPr>
        <w:t xml:space="preserve"> настоящих Правил, полное ограничение режима потребления вводится в отношении энергопринимающих устройств и (или) объектов электроэнергетики, в отношении которых заключен соответствующий договор, по всем точкам поставки, указанным в этом договоре, а в связи с наступлением обстоятельств, указанных в </w:t>
      </w:r>
      <w:hyperlink w:anchor="Par3716" w:history="1">
        <w:r>
          <w:rPr>
            <w:rFonts w:ascii="Arial" w:hAnsi="Arial" w:cs="Arial"/>
            <w:color w:val="0000FF"/>
            <w:sz w:val="20"/>
            <w:szCs w:val="20"/>
          </w:rPr>
          <w:t>подпункте "в" пункта 2</w:t>
        </w:r>
      </w:hyperlink>
      <w:r>
        <w:rPr>
          <w:rFonts w:ascii="Arial" w:hAnsi="Arial" w:cs="Arial"/>
          <w:sz w:val="20"/>
          <w:szCs w:val="20"/>
        </w:rPr>
        <w:t xml:space="preserve"> </w:t>
      </w:r>
      <w:r>
        <w:rPr>
          <w:rFonts w:ascii="Arial" w:hAnsi="Arial" w:cs="Arial"/>
          <w:sz w:val="20"/>
          <w:szCs w:val="20"/>
        </w:rPr>
        <w:lastRenderedPageBreak/>
        <w:t>настоящих Правил, - по всем точкам поставки, указанным в договоре, прекращение обязательств по которому явилось основанием для введения этого ограничения. При этом по точкам поставки, в которых исполняются обязательства в целях поставки электрической энергии иным лицам,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ограничение режима потребления, это ограничение вводится с учетом уровня потребления электрической энергии указанных лиц, который должен быть обеспечен при введении полного ограничения и определяется в соответствии с настоящим пунктом.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связи с наступлением обстоятельств, предусмотренных </w:t>
      </w:r>
      <w:hyperlink w:anchor="Par3718" w:history="1">
        <w:r>
          <w:rPr>
            <w:rFonts w:ascii="Arial" w:hAnsi="Arial" w:cs="Arial"/>
            <w:color w:val="0000FF"/>
            <w:sz w:val="20"/>
            <w:szCs w:val="20"/>
          </w:rPr>
          <w:t>подпунктом "д" пункта 2</w:t>
        </w:r>
      </w:hyperlink>
      <w:r>
        <w:rPr>
          <w:rFonts w:ascii="Arial" w:hAnsi="Arial" w:cs="Arial"/>
          <w:sz w:val="20"/>
          <w:szCs w:val="20"/>
        </w:rPr>
        <w:t xml:space="preserve"> настоящих Правил, полное ограничение режима потребления вводится по всем точкам поставки, указанным в договоре, в связи с исполнением обязательств по которому гарантирующим поставщиком выявлено ненадлежащее технологическое присоединение энергопринимающих устройств потребителя.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6 в ред. </w:t>
      </w:r>
      <w:hyperlink r:id="rId1180"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7. Потребитель, в отношении энергопринимающих устройств и (или) объектов электроэнергетики которого вводится ограничение режима потребления, обязан осуществить самостоятельно полное ограничение режима потребления указанными энергопринимающими устройствами и (или) объектами электроэнергетики на дату, которая указана в уведомлении об ограничении режима потребления, а если это ограничение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в день, следующий за датой, в которую этим потребителем в соответствии с </w:t>
      </w:r>
      <w:hyperlink w:anchor="Par3946" w:history="1">
        <w:r>
          <w:rPr>
            <w:rFonts w:ascii="Arial" w:hAnsi="Arial" w:cs="Arial"/>
            <w:color w:val="0000FF"/>
            <w:sz w:val="20"/>
            <w:szCs w:val="20"/>
          </w:rPr>
          <w:t>пунктом 16(1)</w:t>
        </w:r>
      </w:hyperlink>
      <w:r>
        <w:rPr>
          <w:rFonts w:ascii="Arial" w:hAnsi="Arial" w:cs="Arial"/>
          <w:sz w:val="20"/>
          <w:szCs w:val="20"/>
        </w:rPr>
        <w:t xml:space="preserve"> настоящих Правил должны быть выполнены мероприятия по обеспечению готовности к введению полного ограничения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если в отношении энергопринимающих устройств и (или) объектов электроэнергетики потребителя вводится частичное ограничение режима потребления, этот потребитель обязан осуществить самостоятельно частичное ограничение режима потребления указанными энергопринимающими устройствами и (или) объектами электроэнергетики на дату и до уровня, которые указаны в уведомлении об ограничении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Самостоятельное ограничение режима потребления должно быть осуществлено до 12 часов дня, соответствующего дате, указанной в уведомлении о введении ограничения режима потребления, а если полное ограничение режима потребления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 до 12 часов дня, следующего за датой, в которую этим потребителем в соответствии с </w:t>
      </w:r>
      <w:hyperlink w:anchor="Par3946" w:history="1">
        <w:r>
          <w:rPr>
            <w:rFonts w:ascii="Arial" w:hAnsi="Arial" w:cs="Arial"/>
            <w:color w:val="0000FF"/>
            <w:sz w:val="20"/>
            <w:szCs w:val="20"/>
          </w:rPr>
          <w:t>пунктом 16(1)</w:t>
        </w:r>
      </w:hyperlink>
      <w:r>
        <w:rPr>
          <w:rFonts w:ascii="Arial" w:hAnsi="Arial" w:cs="Arial"/>
          <w:sz w:val="20"/>
          <w:szCs w:val="20"/>
        </w:rPr>
        <w:t xml:space="preserve"> настоящих Правил должны быть выполнены мероприятия по обеспечению готовности к введению полного ограничения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Введение соответствующего ограничения режима потребления исполнителем (субисполнителем) со своих объектов электросетевого хозяйства не отменяет обязанности потребителя выполнить требование о самостоятельном ограничении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Инициатор введения ограничения и исполнитель (субисполнитель) вправе присутствовать при осуществлении потребителем самостоятельного ограничения режима потребления и снять показания приборов учета потребителя на дату и время введения ограничения режима потребления.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7 в ред. </w:t>
      </w:r>
      <w:hyperlink r:id="rId1181"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87" w:name="Par3783"/>
      <w:bookmarkEnd w:id="287"/>
      <w:r>
        <w:rPr>
          <w:rFonts w:ascii="Arial" w:hAnsi="Arial" w:cs="Arial"/>
          <w:sz w:val="20"/>
          <w:szCs w:val="20"/>
        </w:rPr>
        <w:t>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основание введения ограничения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описание точки поставки потребителя,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тип ограничения режима потребления (частичное или полное);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место, дата и время составления акта;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уровень частичного ограничения режима потребления - если в отношении потребителя вводится частичное ограничение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технические мероприятия на объектах электроэнергетики потребителя, посредством которых осуществлено введение ограничения режима потребления, с указанием места установки отключенных коммутационных аппаратов (при наличии);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номера, место установки и показания приборов учета, используемых в соответствии с </w:t>
      </w:r>
      <w:hyperlink w:anchor="Par3875" w:history="1">
        <w:r>
          <w:rPr>
            <w:rFonts w:ascii="Arial" w:hAnsi="Arial" w:cs="Arial"/>
            <w:color w:val="0000FF"/>
            <w:sz w:val="20"/>
            <w:szCs w:val="20"/>
          </w:rPr>
          <w:t>пунктом 12(1)</w:t>
        </w:r>
      </w:hyperlink>
      <w:r>
        <w:rPr>
          <w:rFonts w:ascii="Arial" w:hAnsi="Arial" w:cs="Arial"/>
          <w:sz w:val="20"/>
          <w:szCs w:val="20"/>
        </w:rPr>
        <w:t xml:space="preserve"> настоящих Правил для контроля соблюдения потребителем введенного ограничения режима потребления, на дату и время составления акта;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обстоятельства, свидетельствующие о невыполнении потребителем требования о самостоятельном ограничении режима потребления, - если данное требование не было выполнено;</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фамилия, имя и отчество (при наличии) лица, уполномоченного на подписание акта от имени потребителя.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Потребитель, в отношении энергопринимающих устройств и (или) объектов электроэнергетики которого вводится ограничение режима потребления, обязан в даты, на которые этим потребителем должно быть осуществлено самостоятельно частичное и (или) полное ограничение режима потребления, обеспечить доступ к принадлежащим ему энергопринимающим устройствам и (или) объектам электроэнергетики и приборам учета указанным в настоящем пункте лицам.</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7(1) введен </w:t>
      </w:r>
      <w:hyperlink r:id="rId1182"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88" w:name="Par3799"/>
      <w:bookmarkEnd w:id="288"/>
      <w:r>
        <w:rPr>
          <w:rFonts w:ascii="Arial" w:hAnsi="Arial" w:cs="Arial"/>
          <w:sz w:val="20"/>
          <w:szCs w:val="20"/>
        </w:rPr>
        <w:t>7(2). В случае необеспечения исполнителю (субисполнителю, инициатору введения ограничения) потребителем доступа к принадлежащим ему энергопринимающим устройствам и (или) объектам электроэнергетики, приборам учета при осуществлении этим потребителем действий по самостоятельному ограничению режима потребления исполнитель (субисполнитель, инициатор введения ограничения) составляет акт о необеспечении доступа, в котором указываются: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 место, дата и время составления акта о необеспечении доступа;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 место нахождения энергопринимающих устройств, объектов электроэнергетики, места установки приборов учета;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е) основания введения ограничения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ж) причины необеспечения доступа (если эти причины были заявлены потребителем);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з) фамилия, имя и отчество (при наличии) лица, уполномоченного на подписание акта от имени потребителя.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7(2) введен </w:t>
      </w:r>
      <w:hyperlink r:id="rId1183"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89" w:name="Par3809"/>
      <w:bookmarkEnd w:id="289"/>
      <w:r>
        <w:rPr>
          <w:rFonts w:ascii="Arial" w:hAnsi="Arial" w:cs="Arial"/>
          <w:sz w:val="20"/>
          <w:szCs w:val="20"/>
        </w:rPr>
        <w:t>8. Уведомление потребителя о введении ограничения режима потребления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в том числе посредством направления короткого текстового сообщения (далее - смс-сообщение) на номер мобильного телефона, указанный в соответствующем договоре для направления потребителю уведомления о введении ограничения режима потребления, посредством направления сообщения на адрес электронной почты, указанный в соответствующем договоре для направления потребителю уведомления о введении ограничения режима потребления, посредством публикации на официальном сайте инициатора введения ограничения в информационно-телекоммуникационной сети "Интернет" (далее - сеть "Интернет"), зарегистрированном в качестве средства массовой информации, посредством включения текста уведомления в счет на оплату потребленной электрической энергии (мощности), оказанных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 а если указанными договорами ни один из данных способов не определен, посредством опубликования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или любым позволяющим подтвердить доставку указанного уведомления способом.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если иное не предусмотрено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уведомление потребителя о введении ограничения режима потребления посредством направления смс-сообщения на номер мобильного телефона, указанный в соответствующем договоре, считается доставленным, а потребитель надлежащим образом уведомленным в день направления повторного смс-сообщения при условии, что инициатор введения ограничения направил потребителю повторное смс-сообщение в течение 2 дней, но не ранее истечения 24 часов со времени направления первого смс-сообщения.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если иное не предусмотрено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уведомление потребителя о введении ограничения режима потребления, направленное по телекоммуникационным каналам связи в электронной форме с использованием электронной подписи, считается доставленным, а потребитель надлежащим образом уведомленным в день направления повторного уведомления при условии, что инициатор введения ограничения направил потребителю повторное уведомление в течение 2 дней, но не ранее истечения 24 часов со времени направления первого уведомления.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уведомления потребителя о введении ограничения режима потребления посредством публикации на официальном сайте инициатора введения ограничения в сети "Интернет" или посредством опубликования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потребитель считается надлежащим образом уведомленным о введении ограничения режима потребления в день публикации соответствующего уведомления.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Дата уведомления потребителя о введении ограничения режима потребления определяется в соответствии с настоящими Правилами, если соответствующим договором не определена дата, с которой потребитель считается надлежащим образом уведомленным о введении ограничения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Потребитель уведомляется о введении ограничения режима потребления однократно. В случае если в отношении энергопринимающих устройств и (или) объектов электроэнергетики потребителя введено частичное ограничение режима потребления, при дальнейшем введении в отношении его энергопринимающих устройств и (или) объектов электроэнергетики полного или частичного до уровня аварийной брони ограничения режима потребления отдельное уведомление не направляется.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8 в ред. </w:t>
      </w:r>
      <w:hyperlink r:id="rId1184"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90" w:name="Par3816"/>
      <w:bookmarkEnd w:id="290"/>
      <w:r>
        <w:rPr>
          <w:rFonts w:ascii="Arial" w:hAnsi="Arial" w:cs="Arial"/>
          <w:sz w:val="20"/>
          <w:szCs w:val="20"/>
        </w:rPr>
        <w:t>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 наименование потребителя;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б) описание точки поставки,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основание введения ограничения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 размер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 требование о ее погашении;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 дата введения частичного ограничения режима потребления до уровня технологической брони - если у потребителя имеется акт согласования технологической и (или) аварийной брони с указанным в нем уровнем технологической брони;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е) уровень технологической брони потребителя - если у потребителя имеется акт согласования технологической и (или) аварийной брони с указанным в нем уровнем технологической брони;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ж) дата введения полного ограничения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з) уровень, до которого исполнитель (субисполнитель) обязан ввести ограничение режима потребления, - если введение полного ограничения режима потребления в отношении его энергопринимающих устройств и (или) объектов электроэнергетики может привести к ограничению или прекращению подачи электрической энергии иным потребителям;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 требование к потребителю о самостоятельном ограничении режима потребления независимо от действий исполнителя (субисполнителя), а также указание на последствия невыполнения указанного требования.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8(1) введен </w:t>
      </w:r>
      <w:hyperlink r:id="rId1185"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91" w:name="Par3827"/>
      <w:bookmarkEnd w:id="291"/>
      <w:r>
        <w:rPr>
          <w:rFonts w:ascii="Arial" w:hAnsi="Arial" w:cs="Arial"/>
          <w:sz w:val="20"/>
          <w:szCs w:val="20"/>
        </w:rPr>
        <w:t xml:space="preserve">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w:t>
      </w:r>
      <w:hyperlink w:anchor="Par3816" w:history="1">
        <w:r>
          <w:rPr>
            <w:rFonts w:ascii="Arial" w:hAnsi="Arial" w:cs="Arial"/>
            <w:color w:val="0000FF"/>
            <w:sz w:val="20"/>
            <w:szCs w:val="20"/>
          </w:rPr>
          <w:t>пункте 8(1)</w:t>
        </w:r>
      </w:hyperlink>
      <w:r>
        <w:rPr>
          <w:rFonts w:ascii="Arial" w:hAnsi="Arial" w:cs="Arial"/>
          <w:sz w:val="20"/>
          <w:szCs w:val="20"/>
        </w:rPr>
        <w:t xml:space="preserve"> настоящих Правил, должно содержать следующую информацию: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 дата введения частичного ограничения режима потребления до уровня аварийной брони - если у потребителя имеется акт согласования технологической и (или) аварийной брони с указанным в нем уровнем аварийной брони;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б) уровень аварийной брони потребителя - если у потребителя имеется акт согласования технологической и (или) аварийной брони с указанным в нем уровнем аварийной брони;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информация о том, что полное ограничение режима потребления в отношении потребителя будет введено в течение одного рабочего дня после дня получения исполнителем (субисполнителем) от него уведомления о готовности к введению полного ограничения режима потребления.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(п. 8(2) введен </w:t>
      </w:r>
      <w:hyperlink r:id="rId1186"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8(3). В случае если уведомление потребителя о введении ограничения режима потребления осуществляется посредством направления смс-сообщения, инициатор введения ограничения вправе разместить указанную в </w:t>
      </w:r>
      <w:hyperlink w:anchor="Par3816" w:history="1">
        <w:r>
          <w:rPr>
            <w:rFonts w:ascii="Arial" w:hAnsi="Arial" w:cs="Arial"/>
            <w:color w:val="0000FF"/>
            <w:sz w:val="20"/>
            <w:szCs w:val="20"/>
          </w:rPr>
          <w:t>пунктах 8(1)</w:t>
        </w:r>
      </w:hyperlink>
      <w:r>
        <w:rPr>
          <w:rFonts w:ascii="Arial" w:hAnsi="Arial" w:cs="Arial"/>
          <w:sz w:val="20"/>
          <w:szCs w:val="20"/>
        </w:rPr>
        <w:t xml:space="preserve"> и </w:t>
      </w:r>
      <w:hyperlink w:anchor="Par3827" w:history="1">
        <w:r>
          <w:rPr>
            <w:rFonts w:ascii="Arial" w:hAnsi="Arial" w:cs="Arial"/>
            <w:color w:val="0000FF"/>
            <w:sz w:val="20"/>
            <w:szCs w:val="20"/>
          </w:rPr>
          <w:t>8(2)</w:t>
        </w:r>
      </w:hyperlink>
      <w:r>
        <w:rPr>
          <w:rFonts w:ascii="Arial" w:hAnsi="Arial" w:cs="Arial"/>
          <w:sz w:val="20"/>
          <w:szCs w:val="20"/>
        </w:rPr>
        <w:t xml:space="preserve"> настоящих Правил информацию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 датах введения частичного ограничения режима потребления до уровня технологической брони, частичного ограничения режима потребления до уровня аварийной брони и полного ограничения режима потребления) на своем официальном сайте в сети "Интернет".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этом случае в уведомление, направляемое в виде смс-сообщения, включается ссылка на соответствующую страницу официального сайта инициатора введения ограничения, на которой размещена указанная информация, а также указанная в </w:t>
      </w:r>
      <w:hyperlink w:anchor="Par3816" w:history="1">
        <w:r>
          <w:rPr>
            <w:rFonts w:ascii="Arial" w:hAnsi="Arial" w:cs="Arial"/>
            <w:color w:val="0000FF"/>
            <w:sz w:val="20"/>
            <w:szCs w:val="20"/>
          </w:rPr>
          <w:t>пунктах 8(1)</w:t>
        </w:r>
      </w:hyperlink>
      <w:r>
        <w:rPr>
          <w:rFonts w:ascii="Arial" w:hAnsi="Arial" w:cs="Arial"/>
          <w:sz w:val="20"/>
          <w:szCs w:val="20"/>
        </w:rPr>
        <w:t xml:space="preserve"> и </w:t>
      </w:r>
      <w:hyperlink w:anchor="Par3827" w:history="1">
        <w:r>
          <w:rPr>
            <w:rFonts w:ascii="Arial" w:hAnsi="Arial" w:cs="Arial"/>
            <w:color w:val="0000FF"/>
            <w:sz w:val="20"/>
            <w:szCs w:val="20"/>
          </w:rPr>
          <w:t>8(2)</w:t>
        </w:r>
      </w:hyperlink>
      <w:r>
        <w:rPr>
          <w:rFonts w:ascii="Arial" w:hAnsi="Arial" w:cs="Arial"/>
          <w:sz w:val="20"/>
          <w:szCs w:val="20"/>
        </w:rPr>
        <w:t xml:space="preserve"> настоящих Правил информация, не размещенная на официальном сайте инициатора введения ограничения.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8(3) введен </w:t>
      </w:r>
      <w:hyperlink r:id="rId1187"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92" w:name="Par3835"/>
      <w:bookmarkEnd w:id="292"/>
      <w:r>
        <w:rPr>
          <w:rFonts w:ascii="Arial" w:hAnsi="Arial" w:cs="Arial"/>
          <w:sz w:val="20"/>
          <w:szCs w:val="20"/>
        </w:rPr>
        <w:t>9. Уведомление о необходимости введения ограничения режима потребления, направляемое исполнителю (субисполнителю) инициатором введения ограничения, должно содержать следующую информацию: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основание введения ограничения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информация об уведомлении потребителя о введении ограничения режима потребления, а в случаях, предусмотренных </w:t>
      </w:r>
      <w:hyperlink w:anchor="Par3846" w:history="1">
        <w:r>
          <w:rPr>
            <w:rFonts w:ascii="Arial" w:hAnsi="Arial" w:cs="Arial"/>
            <w:color w:val="0000FF"/>
            <w:sz w:val="20"/>
            <w:szCs w:val="20"/>
          </w:rPr>
          <w:t>пунктом 10</w:t>
        </w:r>
      </w:hyperlink>
      <w:r>
        <w:rPr>
          <w:rFonts w:ascii="Arial" w:hAnsi="Arial" w:cs="Arial"/>
          <w:sz w:val="20"/>
          <w:szCs w:val="20"/>
        </w:rPr>
        <w:t xml:space="preserve"> настоящих Правил, также информация об уведомлении уполномоченного органа субъекта Российской Федерации и федерального органа исполнительной власти по делам гражданской обороны и чрезвычайным ситуациям;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информация о способе уведомления потребителя о введении ограничения режима потребления, определенном в соответствии с </w:t>
      </w:r>
      <w:hyperlink w:anchor="Par3809" w:history="1">
        <w:r>
          <w:rPr>
            <w:rFonts w:ascii="Arial" w:hAnsi="Arial" w:cs="Arial"/>
            <w:color w:val="0000FF"/>
            <w:sz w:val="20"/>
            <w:szCs w:val="20"/>
          </w:rPr>
          <w:t>пунктом 8</w:t>
        </w:r>
      </w:hyperlink>
      <w:r>
        <w:rPr>
          <w:rFonts w:ascii="Arial" w:hAnsi="Arial" w:cs="Arial"/>
          <w:sz w:val="20"/>
          <w:szCs w:val="20"/>
        </w:rPr>
        <w:t xml:space="preserve"> настоящих Правил, с указанием контактной информации потребителя;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вся информация, содержащаяся в уведомлении потребителя о введении ограничения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Инициатор введения ограничения режима потребления вправе включить в уведомление о необходимости введения ограничения режима потребления любую дополнительную информацию, необходимую, по его мнению, для обеспечения своевременного введения ограничения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если ограничение режима потребления вводится в связи с наступлением обстоятельств, указанных в </w:t>
      </w:r>
      <w:hyperlink w:anchor="Par3708" w:history="1">
        <w:r>
          <w:rPr>
            <w:rFonts w:ascii="Arial" w:hAnsi="Arial" w:cs="Arial"/>
            <w:color w:val="0000FF"/>
            <w:sz w:val="20"/>
            <w:szCs w:val="20"/>
          </w:rPr>
          <w:t>подпункте "б" пункта 2</w:t>
        </w:r>
      </w:hyperlink>
      <w:r>
        <w:rPr>
          <w:rFonts w:ascii="Arial" w:hAnsi="Arial" w:cs="Arial"/>
          <w:sz w:val="20"/>
          <w:szCs w:val="20"/>
        </w:rPr>
        <w:t xml:space="preserve"> настоящих Правил, и инициатором введения ограничения режима потребления является энергосбытовая (энергоснабжающая) организация, к уведомлению о необходимости введения ограничения режима потребления прилагается выписка из договора купли-продажи (поставки) электрической энергии (мощности), нарушение потребителем обязательств по которому послужило основанием для введения ограничения, содержащая сведения о наличии договорных отношений между инициатором введения ограничения и потребителем, о реквизитах лица, выступающего потребителем по этому договору, а также перечень точек поставки, в которых энергосбытовой (энергоснабжающей) организацией по данному договору исполняются обязательства по продаже (поставке) электрической энергии (мощности).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9 в ред. </w:t>
      </w:r>
      <w:hyperlink r:id="rId1188"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9(1). Все уведомления, подлежащие направлению в соответствии с настоящими Правилами инициатору введения ограничения, исполнителю, субисполнителю, направляются способом, определенным договором об оказании услуг по передаче электрической энергии или иным соглашением сторон об информационном взаимодействии, а в случае отсутствия такого договора или соглашения - способом, позволяющим подтвердить доставку уведомления.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Указанные уведомления могут быть направлены по телекоммуникационным каналам связи в электронной форме с использованием электронной подписи, если такой способ направления уведомлений позволяет подтвердить получение указанных уведомлений соответственно инициатором введения ограничения, исполнителем или субисполнителем.</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(п. 9(1) введен </w:t>
      </w:r>
      <w:hyperlink r:id="rId1189"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93" w:name="Par3846"/>
      <w:bookmarkEnd w:id="293"/>
      <w:r>
        <w:rPr>
          <w:rFonts w:ascii="Arial" w:hAnsi="Arial" w:cs="Arial"/>
          <w:sz w:val="20"/>
          <w:szCs w:val="20"/>
        </w:rPr>
        <w:t>10. В целях введения ограничения режима потребления инициатор введения ограничения обязан:</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 направить потребителю уведомление о введении ограничения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б) направить исполнителю (в предусмотренных настоящими Правилами случаях - субисполнителю) уведомление о необходимости введения ограничения режима потребления. По получении уведомления исполнитель обязан направить уведомление или его копию субисполнителю в течение одного рабочего дня после дня его получения. Если ограничение режима потребления вводится по инициативе сетевой организации, она обязана направить аналогичное уведомление лицу, с которым таким потребителем заключен договор энергоснабжения (купли-продажи (поставки) электрической энергии (мощности)), при условии, что обязательства по этому договору не прекращены на дату уведомления потребителя о введении ограничения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одновременно с направлением уведомления потребителю направить информацию о введении ограничения режима потребления в уполномоченный орган субъекта Российской Федерации и федеральный орган исполнительной власти по делам гражданской обороны и чрезвычайным ситуациям, если ограничение режима потребления вводится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и (или)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10 в ред. </w:t>
      </w:r>
      <w:hyperlink r:id="rId1190"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10(1). Введение полного ограничения режима потребления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до получения от него исполнителем (субисполнителем) уведомления о готовности к введению полного ограничения режима потребления не допускается.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10(1) введен </w:t>
      </w:r>
      <w:hyperlink r:id="rId1191"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11. Исполнитель (субисполнитель) при введении ограничения режима потребления со своих объектов электросетевого хозяйства или через бесхозяйные объекты электросетевого хозяйства, которые имеют непосредственное присоединение к сетям исполнителя (субисполнителя), составляет акт о введении ограничения режима потребления, содержащий следующую информацию: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 основание введения ограничения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 описание точки поставки,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е) тип ограничения режима потребления (частичное или полное);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ж) место, дата и время составления акта;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з) дата и время введения ограничения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и) уровень частичного ограничения режима потребления - если в отношении потребителя вводится частичное ограничение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к) 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л) адрес, по которому производятся действия по введению ограничения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м) технические мероприятия на объектах электросетевого хозяйства исполнителя (субисполнителя), посредством которых введено ограничение режима потребления, с указанием места установки отключенных коммутационных аппаратов (при их наличии);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н) номера, место установки и показания приборов учета, используемых в соответствии с </w:t>
      </w:r>
      <w:hyperlink w:anchor="Par3875" w:history="1">
        <w:r>
          <w:rPr>
            <w:rFonts w:ascii="Arial" w:hAnsi="Arial" w:cs="Arial"/>
            <w:color w:val="0000FF"/>
            <w:sz w:val="20"/>
            <w:szCs w:val="20"/>
          </w:rPr>
          <w:t>пунктом 12(1)</w:t>
        </w:r>
      </w:hyperlink>
      <w:r>
        <w:rPr>
          <w:rFonts w:ascii="Arial" w:hAnsi="Arial" w:cs="Arial"/>
          <w:sz w:val="20"/>
          <w:szCs w:val="20"/>
        </w:rPr>
        <w:t xml:space="preserve"> настоящих Правил для контроля соблюдения потребителем введенного ограничения режима потребления, на дату и время введения ограничения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 фамилия, имя и отчество (при наличии) лица, уполномоченного на подписание акта от имени потребителя;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 причины, по которым ограничение режима потребления не было введено, - если в отношении энергопринимающих устройств и (или) объектов электроэнергетики потребителя ограничение режима потребления не было введено.</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11 в ред. </w:t>
      </w:r>
      <w:hyperlink r:id="rId1192"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12. Инициатор введения ограничения и исполнитель (субисполнитель) вправе осуществлять контроль соблюдения потребителем введенного в отношении его энергопринимающих устройств и (или) объектов электроэнергетики полного или частичного ограничения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Исполнитель (субисполнитель) обязан осуществлять контроль соблюдения потребителем введенного в отношении его энергопринимающих устройств и (или) объектов электроэнергетики полного ограничения режима потребления, если данное ограничение режима потребления осуществлено потребителем самостоятельно и не вводилось с объектов электросетевого хозяйства исполнителя (субисполнителя).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Контроль соблюдения потребителем введенного в отношении его энергопринимающих устройств и (или) объектов электроэнергетики полного или частичного ограничения режима потребления осуществляется путем проведения проверок введенного ограничения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если исполнитель (субисполнитель) обязан осуществлять указанный контроль, проверки введенного ограничения режима потребления должны проводиться исполнителем (субисполнителем) не реже чем один раз в 30 дней, при этом первая проверка осуществляется в срок, не превышающий 10 дней после дня введения полного ограничения режима потребления, указанного в уведомлении о введении ограничения режима потребления.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12 в ред. </w:t>
      </w:r>
      <w:hyperlink r:id="rId1193"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94" w:name="Par3875"/>
      <w:bookmarkEnd w:id="294"/>
      <w:r>
        <w:rPr>
          <w:rFonts w:ascii="Arial" w:hAnsi="Arial" w:cs="Arial"/>
          <w:sz w:val="20"/>
          <w:szCs w:val="20"/>
        </w:rPr>
        <w:t>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если в отношении точки поставки установлены и введены в эксплуатацию в соответствии с Основными положениями интервальный и интегральный приборы учета, для контроля введенного ограничения режима потребления используется интервальный прибор учета.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если в отношении точки поставки установлен и введен в эксплуатацию в соответствии с Основными положениями только интегральный прибор учета, на основании показаний которого осуществляется контроль соблюдения потребителем введенного ограничения режима потребления, почасовой объем потребления электрической энергии рассчитывается путем равномерного распределения количества электрической энергии, определенного по показаниям этого прибора учета за период с даты и </w:t>
      </w:r>
      <w:r>
        <w:rPr>
          <w:rFonts w:ascii="Arial" w:hAnsi="Arial" w:cs="Arial"/>
          <w:sz w:val="20"/>
          <w:szCs w:val="20"/>
        </w:rPr>
        <w:lastRenderedPageBreak/>
        <w:t>времени составления акта о введении ограничения режима потребления или даты и времени предыдущей проверки введенного ограничения режима потребления до даты и времени текущей проверки, по часам суток в указанном периоде.</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12(1) введен </w:t>
      </w:r>
      <w:hyperlink r:id="rId1194"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12(2). Нарушение введенного ограничения режима потребления и (или) невыполнение требования о самостоятельном ограничении режима потребления фиксируется, если в результате проверки показаний 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ar3783" w:history="1">
        <w:r>
          <w:rPr>
            <w:rFonts w:ascii="Arial" w:hAnsi="Arial" w:cs="Arial"/>
            <w:color w:val="0000FF"/>
            <w:sz w:val="20"/>
            <w:szCs w:val="20"/>
          </w:rPr>
          <w:t>пунктом 7(1)</w:t>
        </w:r>
      </w:hyperlink>
      <w:r>
        <w:rPr>
          <w:rFonts w:ascii="Arial" w:hAnsi="Arial" w:cs="Arial"/>
          <w:sz w:val="20"/>
          <w:szCs w:val="20"/>
        </w:rPr>
        <w:t xml:space="preserve"> настоящих Правил) или даты и времени предыдущей проверки введенного ограничения режима потребления до даты и времени текущей проверки, превышает величину, которая указана в уведомлении о введении ограничения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осуществлении контроля соблюдения потребителем введенного полного ограничения режима потребления нарушение введенного ограничения режима потребления и (или) невыполнение требования о самостоятельном ограничении режима потребления фиксируется: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отношении энергопринимающих устройств и (или) объектов электроэнергетики потребителя, введение полного ограничения режима потребления которыми может привести к ограничению или прекращению подачи электрической энергии иным лицам, - если в результате проверки показаний 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ar3783" w:history="1">
        <w:r>
          <w:rPr>
            <w:rFonts w:ascii="Arial" w:hAnsi="Arial" w:cs="Arial"/>
            <w:color w:val="0000FF"/>
            <w:sz w:val="20"/>
            <w:szCs w:val="20"/>
          </w:rPr>
          <w:t>пунктом 7(1)</w:t>
        </w:r>
      </w:hyperlink>
      <w:r>
        <w:rPr>
          <w:rFonts w:ascii="Arial" w:hAnsi="Arial" w:cs="Arial"/>
          <w:sz w:val="20"/>
          <w:szCs w:val="20"/>
        </w:rPr>
        <w:t xml:space="preserve"> настоящих Правил) или даты и времени предыдущей проверки введенного ограничения режима потребления до даты и времени текущей проверки, превышает величину, которая указана в уведомлении о введении ограничения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отношении иных потребителей - если из показаний прибора учета на дату и время проведения проверки введенного ограничения режима потребления и показаний прибора учета, снятых на дату и время введения полного ограничения режима потребления (дату и время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ar3783" w:history="1">
        <w:r>
          <w:rPr>
            <w:rFonts w:ascii="Arial" w:hAnsi="Arial" w:cs="Arial"/>
            <w:color w:val="0000FF"/>
            <w:sz w:val="20"/>
            <w:szCs w:val="20"/>
          </w:rPr>
          <w:t>пунктом 7(1)</w:t>
        </w:r>
      </w:hyperlink>
      <w:r>
        <w:rPr>
          <w:rFonts w:ascii="Arial" w:hAnsi="Arial" w:cs="Arial"/>
          <w:sz w:val="20"/>
          <w:szCs w:val="20"/>
        </w:rPr>
        <w:t xml:space="preserve"> настоящих Правил) или дату и время предыдущей проверки введенного ограничения режима потребления, следует потребление электрической энергии потребителем, в отношении энергопринимающих устройств и (или) объектов электроэнергетики которого введено полное ограничение режима потребления.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12(2) введен </w:t>
      </w:r>
      <w:hyperlink r:id="rId1195"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95" w:name="Par3884"/>
      <w:bookmarkEnd w:id="295"/>
      <w:r>
        <w:rPr>
          <w:rFonts w:ascii="Arial" w:hAnsi="Arial" w:cs="Arial"/>
          <w:sz w:val="20"/>
          <w:szCs w:val="20"/>
        </w:rPr>
        <w:t xml:space="preserve">12(3). Нарушение введенного ограничения режима потребления и (или) невыполнение требования о самостоятельном ограничении режима потребления помимо способа, предполагающего проверку показаний приборов учета, может быть выявлено в результате применения иных способов контроля соблюдения потребителем введенного ограничения режима потребления (в том числе контроля мощности), которыми подтверждается потребление электрической энергии потребителем, в отношении энергопринимающих устройств и (или) объектов электроэнергетики которого введено полное ограничение режима потребления, или превышение потребителем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ar3783" w:history="1">
        <w:r>
          <w:rPr>
            <w:rFonts w:ascii="Arial" w:hAnsi="Arial" w:cs="Arial"/>
            <w:color w:val="0000FF"/>
            <w:sz w:val="20"/>
            <w:szCs w:val="20"/>
          </w:rPr>
          <w:t>пунктом 7(1)</w:t>
        </w:r>
      </w:hyperlink>
      <w:r>
        <w:rPr>
          <w:rFonts w:ascii="Arial" w:hAnsi="Arial" w:cs="Arial"/>
          <w:sz w:val="20"/>
          <w:szCs w:val="20"/>
        </w:rPr>
        <w:t xml:space="preserve"> настоящих Правил) или даты и времени предыдущей контрольной проверки введенного ограничения режима потребления до даты и времени текущей проверки соответственно величины, рассчитанной в соответствии с </w:t>
      </w:r>
      <w:hyperlink w:anchor="Par3753" w:history="1">
        <w:r>
          <w:rPr>
            <w:rFonts w:ascii="Arial" w:hAnsi="Arial" w:cs="Arial"/>
            <w:color w:val="0000FF"/>
            <w:sz w:val="20"/>
            <w:szCs w:val="20"/>
          </w:rPr>
          <w:t>пунктами 5</w:t>
        </w:r>
      </w:hyperlink>
      <w:r>
        <w:rPr>
          <w:rFonts w:ascii="Arial" w:hAnsi="Arial" w:cs="Arial"/>
          <w:sz w:val="20"/>
          <w:szCs w:val="20"/>
        </w:rPr>
        <w:t xml:space="preserve"> и </w:t>
      </w:r>
      <w:hyperlink w:anchor="Par3766" w:history="1">
        <w:r>
          <w:rPr>
            <w:rFonts w:ascii="Arial" w:hAnsi="Arial" w:cs="Arial"/>
            <w:color w:val="0000FF"/>
            <w:sz w:val="20"/>
            <w:szCs w:val="20"/>
          </w:rPr>
          <w:t>6</w:t>
        </w:r>
      </w:hyperlink>
      <w:r>
        <w:rPr>
          <w:rFonts w:ascii="Arial" w:hAnsi="Arial" w:cs="Arial"/>
          <w:sz w:val="20"/>
          <w:szCs w:val="20"/>
        </w:rPr>
        <w:t xml:space="preserve"> настоящих Правил.</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12(3) введен </w:t>
      </w:r>
      <w:hyperlink r:id="rId1196"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12(4). По итогам осуществления проверки введенного ограничения режима потребления исполнителем (субисполнителем), инициатором введения ограничения составляется акт, содержащий следующую информацию: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 место, дата и время составления акта;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 основание введения ограничения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е) описание точки поставки, сформированной в отношении энергопринимающих устройств и (или) объектов электроэнергетики, в отношении которых вводилось ограничение режима потребления, либо перечень точек поставки, если указанных точек 2 и более;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ж) тип введенного в отношении энергопринимающих устройств и (или) объектов электроэнергетики потребителя ограничения режима потребления (частичное или полное);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з) уровень частичного ограничения режима потребления - если в отношении энергопринимающих устройств и (или) объектов электроэнергетики потребителя введено частичное ограничение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 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которых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к) адрес, по которому были произведены действия по введению ограничения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л) дата и время осуществления проверки введенного ограничения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м) номера, место установки и показания приборов учета на дату и время составления акта о введении ограничения режима потребления или дату и время предыдущей проверки введенного ограничения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 данные о почасовом объеме потребления электрической энергии за период с даты и времени введения ограничения режима потребления или даты предыдущей проверки введенного ограничения режима потребления, либо расчет почасового объема потребления электрической энергии за указанный период (если прибор учета является интегральным), либо указание на отсутствие потребления электрической энергии за указанный период;</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 выводы о нарушении или об отсутствии нарушения потребителем введенного в отношении его энергопринимающих устройств и (или) объектов электроэнергетики ограничения режима потребления либо о выполнении или невыполнении потребителем требования о самостоятельном ограничении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 сведения, на основании которых был сделан вывод о нарушении потребителем введенного в отношении его энергопринимающих устройств и (или) объектов электроэнергетики ограничения режима потребления либо о невыполнении потребителем требования о самостоятельном ограничении режима потребления, - если нарушение выявлено одним из способов, предусмотренных </w:t>
      </w:r>
      <w:hyperlink w:anchor="Par3884" w:history="1">
        <w:r>
          <w:rPr>
            <w:rFonts w:ascii="Arial" w:hAnsi="Arial" w:cs="Arial"/>
            <w:color w:val="0000FF"/>
            <w:sz w:val="20"/>
            <w:szCs w:val="20"/>
          </w:rPr>
          <w:t>пунктом 12(3)</w:t>
        </w:r>
      </w:hyperlink>
      <w:r>
        <w:rPr>
          <w:rFonts w:ascii="Arial" w:hAnsi="Arial" w:cs="Arial"/>
          <w:sz w:val="20"/>
          <w:szCs w:val="20"/>
        </w:rPr>
        <w:t xml:space="preserve"> настоящих Правил;</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р) фамилия, имя и отчество (при наличии) лица, уполномоченного на подписание акта от имени потребителя.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12(4) введен </w:t>
      </w:r>
      <w:hyperlink r:id="rId1197"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12(5). В случае если для проведения проверки введенного ограничения режима потребления исполнителю (субисполнителю), инициатору введения ограничения требуется доступ к энергопринимающим устройствам и (или) объектам электроэнергетики потребителя, в границах которых установлен прибор учета, используемый в соответствии с </w:t>
      </w:r>
      <w:hyperlink w:anchor="Par3875" w:history="1">
        <w:r>
          <w:rPr>
            <w:rFonts w:ascii="Arial" w:hAnsi="Arial" w:cs="Arial"/>
            <w:color w:val="0000FF"/>
            <w:sz w:val="20"/>
            <w:szCs w:val="20"/>
          </w:rPr>
          <w:t>пунктом 12(1)</w:t>
        </w:r>
      </w:hyperlink>
      <w:r>
        <w:rPr>
          <w:rFonts w:ascii="Arial" w:hAnsi="Arial" w:cs="Arial"/>
          <w:sz w:val="20"/>
          <w:szCs w:val="20"/>
        </w:rPr>
        <w:t xml:space="preserve"> настоящих Правил для контроля </w:t>
      </w:r>
      <w:r>
        <w:rPr>
          <w:rFonts w:ascii="Arial" w:hAnsi="Arial" w:cs="Arial"/>
          <w:sz w:val="20"/>
          <w:szCs w:val="20"/>
        </w:rPr>
        <w:lastRenderedPageBreak/>
        <w:t xml:space="preserve">соблюдения потребителем введенного ограничения режима потребления, исполнитель (субисполнитель), инициатор введения ограничения не менее чем за один рабочий день до даты проведения проверки введенного ограничения режима потребления направляет потребителю способом, предусмотренным </w:t>
      </w:r>
      <w:hyperlink w:anchor="Par3809" w:history="1">
        <w:r>
          <w:rPr>
            <w:rFonts w:ascii="Arial" w:hAnsi="Arial" w:cs="Arial"/>
            <w:color w:val="0000FF"/>
            <w:sz w:val="20"/>
            <w:szCs w:val="20"/>
          </w:rPr>
          <w:t>пунктом 8</w:t>
        </w:r>
      </w:hyperlink>
      <w:r>
        <w:rPr>
          <w:rFonts w:ascii="Arial" w:hAnsi="Arial" w:cs="Arial"/>
          <w:sz w:val="20"/>
          <w:szCs w:val="20"/>
        </w:rPr>
        <w:t xml:space="preserve"> настоящих Правил, уведомление о необходимости обеспечения доступа, содержащее дату и время проведения проверки введенного ограничения режима потребления, а также информацию о последствиях необеспечения такого доступа.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Потребитель обязан в день и время, указанные в уведомлении, обеспечить соответствующим лицам доступ к принадлежащим ему энергопринимающим устройствам и (или) объектам электроэнергетики, в границах которых установлен прибор учета, используемый в соответствии с </w:t>
      </w:r>
      <w:hyperlink w:anchor="Par3875" w:history="1">
        <w:r>
          <w:rPr>
            <w:rFonts w:ascii="Arial" w:hAnsi="Arial" w:cs="Arial"/>
            <w:color w:val="0000FF"/>
            <w:sz w:val="20"/>
            <w:szCs w:val="20"/>
          </w:rPr>
          <w:t>пунктом 12(1)</w:t>
        </w:r>
      </w:hyperlink>
      <w:r>
        <w:rPr>
          <w:rFonts w:ascii="Arial" w:hAnsi="Arial" w:cs="Arial"/>
          <w:sz w:val="20"/>
          <w:szCs w:val="20"/>
        </w:rPr>
        <w:t xml:space="preserve"> настоящих Правил для контроля соблюдения потребителем введенного ограничения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необеспечения такого доступа в день и время, указанные в уведомлении, исполнитель (субисполнитель), инициатор введения ограничения составляет предусмотренный </w:t>
      </w:r>
      <w:hyperlink w:anchor="Par3799" w:history="1">
        <w:r>
          <w:rPr>
            <w:rFonts w:ascii="Arial" w:hAnsi="Arial" w:cs="Arial"/>
            <w:color w:val="0000FF"/>
            <w:sz w:val="20"/>
            <w:szCs w:val="20"/>
          </w:rPr>
          <w:t>пунктом 7(2)</w:t>
        </w:r>
      </w:hyperlink>
      <w:r>
        <w:rPr>
          <w:rFonts w:ascii="Arial" w:hAnsi="Arial" w:cs="Arial"/>
          <w:sz w:val="20"/>
          <w:szCs w:val="20"/>
        </w:rPr>
        <w:t xml:space="preserve"> настоящих Правил акт о необеспечении доступа.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12(5) введен </w:t>
      </w:r>
      <w:hyperlink r:id="rId1198"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13. Акт о введении ограничения режима потребления, акт о необеспечении доступа и акт проверки введенного ограничения режима потребления составляются в 3 экземплярах (в 4 экземплярах - если введение ограничения режима потребления осуществляется субисполнителем).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Соответствующий акт подписывается заинтересованными лицами, присутствующими при его составлении. В случае отказа потребителя от подписания акта, а также в случае отсутствия потребителя при составлении акта в акте делается запись об этом с указанием причин (при наличии такой информации). При этом акт составляется в присутствии 2 незаинтересованных лиц, которые своей подписью подтверждают достоверность информации, содержащейся в акте, о чем собственноручно выполняют соответствующую запись в акте. Указанные незаинтересованные лица вправе уточнить в акте, достоверность какой именно информации они подтверждают, при этом к информации, достоверность которой подтверждается указанными лицами, не могут быть отнесены выводы о нарушении потребителем введенного в отношении его энергопринимающих устройств и (или) объектов электроэнергетики ограничения режима потребления, а также выводы о невыполнении потребителем требования о самостоятельном ограничении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составлении акта в присутствии 2 незаинтересованных лиц в акте указываются в отношении каждого из них фамилия, имя и отчество (при наличии), фактическое место жительства, паспортные данные либо данные иного документа, удостоверяющего личность в соответствии с законодательством Российской Федерации, а также телефон этого лица.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Присутствующим при составлении акта заинтересованным лицам - инициатору введения ограничения, исполнителю (если акт составляется субисполнителем) и потребителю - вручается по одному экземпляру акта. В случае отсутствия при составлении акта заинтересованных лиц (инициатора введения ограничения, исполнителя, потребителя) указанный акт направляется исполнителем (субисполнителем) в течение одного рабочего дня после дня его подписания отсутствовавшим при его составлении лицам.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если ограничение режима потребления вводится по инициативе сетевой организации, указанная сетевая организация (субисполнитель) в течение одного рабочего дня после дня подписания акта также направляет один экземпляр акта лицу, с которым потребителем, в отношении энергопринимающих устройств и (или) объектов электроэнергетики которого вводится или введено ограничение режима потребления, заключен договор энергоснабжения (купли-продажи (поставки) электрической энергии (мощности)), - при наличии этого договора.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если акт был составлен инициатором введения ограничения, направление акта заинтересованным лицам, не присутствовавшим при его составлении, осуществляет инициатор введения ограничения.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13 в ред. </w:t>
      </w:r>
      <w:hyperlink r:id="rId1199"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14. В случае если введение ограничения режима потребления в порядке, установленном настоящим разделом, требует изменения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w:t>
      </w:r>
      <w:r>
        <w:rPr>
          <w:rFonts w:ascii="Arial" w:hAnsi="Arial" w:cs="Arial"/>
          <w:sz w:val="20"/>
          <w:szCs w:val="20"/>
        </w:rPr>
        <w:lastRenderedPageBreak/>
        <w:t>электроэнергетике, исполнитель (субисполнитель) обязан согласовать необходимое изменение с субъектом оперативно-диспетчерского управления в электроэнергетике.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Согласование изменения технологического режима работы или эксплуатационного состояния энергопринимающих устройств и (или) объектов электроэнергетики, в отношении которых вводится ограничение режима потребления, осуществляется в порядке, установленном настоящим пунктом, с соблюдением требований, предусмотренных правилами оперативно-диспетчерского управления в электроэнергетике.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этих целях исполнитель (субисполнитель) направляет субъекту оперативно-диспетчерского управления в электроэнергетике диспетчерскую заявку на изменение технологического режима работы или эксплуатационного состояния энергопринимающих устройств и (или) объектов электроэнергетики (далее - диспетчерская заявка), которое должно начаться с даты, указанной в уведомлении о необходимости введения ограничения режима потребления (в уведомлении о введении ограничения режима потребления, направленном потребителю,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anchor="Par3701" w:history="1">
        <w:r>
          <w:rPr>
            <w:rFonts w:ascii="Arial" w:hAnsi="Arial" w:cs="Arial"/>
            <w:color w:val="0000FF"/>
            <w:sz w:val="20"/>
            <w:szCs w:val="20"/>
          </w:rPr>
          <w:t>пунктом 1(2)</w:t>
        </w:r>
      </w:hyperlink>
      <w:r>
        <w:rPr>
          <w:rFonts w:ascii="Arial" w:hAnsi="Arial" w:cs="Arial"/>
          <w:sz w:val="20"/>
          <w:szCs w:val="20"/>
        </w:rPr>
        <w:t xml:space="preserve"> настоящих Правил). Диспетчерская заявка подается в соответствующий диспетчерский центр субъекта оперативно-диспетчерского управления в электроэнергетике в порядке и в сроки, которые предусмотрены правилами оформления, подачи, рассмотрения и согласования диспетчерских заявок, утвержденными субъектом оперативно-диспетчерского управления в электроэнергетике, но не менее чем за 7 рабочих дней до планируемой даты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Субъект оперативно-диспетчерского управления в электроэнергетике осуществляет рассмотрение и согласование диспетчерской заявки исходя из необходимости обеспечения надежного и устойчивого функционирования энергетической системы, баланса производства и потребления электрической энергии, соблюдения установленных параметров качества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Решение о согласовании диспетчерской заявки или об отказе в таком согласовании направляется исполнителю (субисполнителю), подготовившему соответствующую диспетчерскую заявку, а также владельцу соответствующих энергопринимающих устройств и (или) объектов электроэнергетики не позднее чем за 2 рабочих дня до даты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 указанной в заявке.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решении об отказе в согласовании диспетчерской заявки указываются причины отказа, а также перечень условий, при выполнении которых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 может быть согласовано.</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14 в ред. </w:t>
      </w:r>
      <w:hyperlink r:id="rId1200"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14(1). В случае если введение ограничения режима потребления в отношении энергопринимающих устройств и (или) объектов электроэнергетики потребителя в порядке, установленном настоящим разделом, требует изменения технологического режима работы или эксплуатационного состояния энергопринимающего устройства и (или) объекта электроэнергетики, находящегося в диспетчерском управлении или диспетчерском ведении субъекта оперативно-диспетчерского управления в электроэнергетике, исполнитель (субисполнитель) вправе (при получении письменного обращения об этом от инициатора введения ограничения до направления потребителю уведомления об ограничении режима потребления - обязан в течение 2 рабочих дней после дня получения письменного обращения) направить субъекту оперативно-диспетчерского управления в электроэнергетике запрос о предварительном согласовании даты, с которой возможно осуществить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запросе указываются энергопринимающие устройства и (или) объекты электроэнергетики, находящиеся в диспетчерском управлении или диспетчерском ведении субъекта оперативно-диспетчерского управления в электроэнергетике, технологический режим работы или эксплуатационное состояние которых планируется изменить для введения ограничения режима потребления, а также сведения о планируемом изменении их технологического режима работы или эксплуатационного состояния и предполагаемая дата его осуществления.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Данный запрос направляется способом, позволяющим подтвердить доставку запроса.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Субъект оперативно-диспетчерского управления в электроэнергетике обязан направить в срок, не превышающий 5 рабочих дней после дня получения запроса, исполнителю (субисполнителю) ответ, содержащий информацию о предварительном согласовании предложенной в запросе даты изменения технологического режима работы или эксплуатационного состояния энергопринимающих устройств и (или) объектов электроэнергетики, находящихся в его диспетчерском управлении или диспетчерском ведении.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если в заявленную дату изменение технологического режима работы или эксплуатационного состояния энергопринимающих устройств и (или) объектов электроэнергетики осуществить невозможно, субъект оперативно-диспетчерского управления в электроэнергетике обязан указать причины отказа в согласовании и предложить иную дату или период, в которые такое изменение возможно осуществить.</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если запрос был направлен по обращению инициатора введения ограничения, исполнитель (субисполнитель) в течение 1 рабочего дня после дня получения информации направляет ответ, полученный им от субъекта оперативно-диспетчерского управления в электроэнергетике, инициатору введения ограничения.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Предварительное согласование инициатором введения ограничения даты возможного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 не отменяет обязанности исполнителя (субисполнителя) согласовать такое изменение с субъектом оперативно-диспетчерского управления в электроэнергетике путем направления соответствующей диспетчерской заявки.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14(1) введен </w:t>
      </w:r>
      <w:hyperlink r:id="rId1201"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96" w:name="Par3930"/>
      <w:bookmarkEnd w:id="296"/>
      <w:r>
        <w:rPr>
          <w:rFonts w:ascii="Arial" w:hAnsi="Arial" w:cs="Arial"/>
          <w:sz w:val="20"/>
          <w:szCs w:val="20"/>
        </w:rPr>
        <w:t>15.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ежегодно, до 1 июля, утверждает перечень потребителей, ограничение режима потребления электрической энергии которых может привести к экономическим, экологическим или социальным последствиям (далее - перечень), на основании обращений потребителей, сетевых организаций, гарантирующих поставщиков.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Потребители, ограничение режима потребления электрической энергии которых может привести к экономическим, экологическим или социальным последствиям, обязаны направлять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обращения о включении в указанный перечень информации о принадлежащих им на праве собственности или на ином законном основании энергопринимающих устройствах и (или) объектах электроэнергетики, ограничение режима потребления которыми может привести к экономическим, экологическим или социальным последствиям, и о наличии либо об отсутствии соответствующих актов согласования технологической и (или) аварийной брони, а сетевые организации и гарантирующие поставщики при наличии у них соответствующей информации вправе направлять такие обращения в отношении указанных потребителей.</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15 в ред. </w:t>
      </w:r>
      <w:hyperlink r:id="rId1202"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97" w:name="Par3933"/>
      <w:bookmarkEnd w:id="297"/>
      <w:r>
        <w:rPr>
          <w:rFonts w:ascii="Arial" w:hAnsi="Arial" w:cs="Arial"/>
          <w:sz w:val="20"/>
          <w:szCs w:val="20"/>
        </w:rPr>
        <w:t xml:space="preserve">15(1). В отношении каждого из потребителей на основании информации, содержащейся в обращении, предусмотренном </w:t>
      </w:r>
      <w:hyperlink w:anchor="Par3930" w:history="1">
        <w:r>
          <w:rPr>
            <w:rFonts w:ascii="Arial" w:hAnsi="Arial" w:cs="Arial"/>
            <w:color w:val="0000FF"/>
            <w:sz w:val="20"/>
            <w:szCs w:val="20"/>
          </w:rPr>
          <w:t>пунктом 15</w:t>
        </w:r>
      </w:hyperlink>
      <w:r>
        <w:rPr>
          <w:rFonts w:ascii="Arial" w:hAnsi="Arial" w:cs="Arial"/>
          <w:sz w:val="20"/>
          <w:szCs w:val="20"/>
        </w:rPr>
        <w:t xml:space="preserve"> настоящих Правил, в перечне указываются: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 наименование потребителя;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б) принадлежащие потребителю на праве собственности или на ином законном основании энергопринимающие устройства и (или) объекты электроэнергетики, ограничение режима потребления которыми может привести к экономическим, экологическим или социальным последствиям;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информация о наличии или об отсутствии согласованных в отношении энергопринимающих устройств и (или) объектов электроэнергетики, включенных в перечень, актов согласования технологической и (или) аварийной брони;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 электроприемники технологической брони, величина технологической брони, а также наименование центра питания и линий электропередачи, посредством которых осуществляется электроснабжение указанных электроприемников с разбивкой по энергопринимающим устройствам и (или) объектам электроэнергетики, включенным в перечень, при наличии у потребителя электроприемников технологической брони;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д) электроприемники аварийной брони, величина аварийной брони, а также наименование центра питания и линий электропередачи, посредством которых осуществляется электроснабжение указанных электроприемников с разбивкой по энергопринимающим устройствам и (или) объектам электроэнергетики, включенным в перечень, при наличии у потребителя электроприемников аварийной брони.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15(1) введен </w:t>
      </w:r>
      <w:hyperlink r:id="rId1203"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98" w:name="Par3940"/>
      <w:bookmarkEnd w:id="298"/>
      <w:r>
        <w:rPr>
          <w:rFonts w:ascii="Arial" w:hAnsi="Arial" w:cs="Arial"/>
          <w:sz w:val="20"/>
          <w:szCs w:val="20"/>
        </w:rPr>
        <w:t>15(2).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10 рабочих дней после дня утверждения перечня обеспечивает размещение перечня на своем официальном сайте в сети "Интернет" и его опубликование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обязано осуществлять актуализацию перечня на основании обращений потребителей, сетевых организаций, гарантирующих поставщиков в порядке, установленном </w:t>
      </w:r>
      <w:hyperlink w:anchor="Par3930" w:history="1">
        <w:r>
          <w:rPr>
            <w:rFonts w:ascii="Arial" w:hAnsi="Arial" w:cs="Arial"/>
            <w:color w:val="0000FF"/>
            <w:sz w:val="20"/>
            <w:szCs w:val="20"/>
          </w:rPr>
          <w:t>пунктами 15</w:t>
        </w:r>
      </w:hyperlink>
      <w:r>
        <w:rPr>
          <w:rFonts w:ascii="Arial" w:hAnsi="Arial" w:cs="Arial"/>
          <w:sz w:val="20"/>
          <w:szCs w:val="20"/>
        </w:rPr>
        <w:t xml:space="preserve">, </w:t>
      </w:r>
      <w:hyperlink w:anchor="Par3933" w:history="1">
        <w:r>
          <w:rPr>
            <w:rFonts w:ascii="Arial" w:hAnsi="Arial" w:cs="Arial"/>
            <w:color w:val="0000FF"/>
            <w:sz w:val="20"/>
            <w:szCs w:val="20"/>
          </w:rPr>
          <w:t>15(1)</w:t>
        </w:r>
      </w:hyperlink>
      <w:r>
        <w:rPr>
          <w:rFonts w:ascii="Arial" w:hAnsi="Arial" w:cs="Arial"/>
          <w:sz w:val="20"/>
          <w:szCs w:val="20"/>
        </w:rPr>
        <w:t xml:space="preserve"> настоящих Правил и </w:t>
      </w:r>
      <w:hyperlink w:anchor="Par3940" w:history="1">
        <w:r>
          <w:rPr>
            <w:rFonts w:ascii="Arial" w:hAnsi="Arial" w:cs="Arial"/>
            <w:color w:val="0000FF"/>
            <w:sz w:val="20"/>
            <w:szCs w:val="20"/>
          </w:rPr>
          <w:t>абзацем первым</w:t>
        </w:r>
      </w:hyperlink>
      <w:r>
        <w:rPr>
          <w:rFonts w:ascii="Arial" w:hAnsi="Arial" w:cs="Arial"/>
          <w:sz w:val="20"/>
          <w:szCs w:val="20"/>
        </w:rPr>
        <w:t xml:space="preserve"> настоящего пункта. При этом в случае если указанным должностным лицом принято решение о включении информации, содержащейся в таких обращениях, в перечень, актуализированная редакция утверждается в срок, не превышающий 30 дней после дня поступления соответствующего обращения.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15(2) введен </w:t>
      </w:r>
      <w:hyperlink r:id="rId1204"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299" w:name="Par3943"/>
      <w:bookmarkEnd w:id="299"/>
      <w:r>
        <w:rPr>
          <w:rFonts w:ascii="Arial" w:hAnsi="Arial" w:cs="Arial"/>
          <w:sz w:val="20"/>
          <w:szCs w:val="20"/>
        </w:rPr>
        <w:t>16. Потребитель, ограничение режима потребления которого может привести к экономическим, экологическим или социальным последствиям, обязан утвердить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 включающий в себя мероприятия, необходимые для безаварийного прекращения технологического процесса, обеспечения безопасности людей и сохранности оборудования, и (или) мероприятия по установке за свой счет автономных источников питания, обеспечивающих снабжение электрической энергией его энергопринимающих устройств и (или) объектов электроэнергетики.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Срок проведения мероприятий по обеспечению готовности к введению полного ограничения режима потребления не должен превышать 6 месяцев либо, если в отношении потребителя согласованы технологическая и аварийная брони, - 6 месяцев за вычетом срока сокращения электроснабжения до уровня аварийной брони, указанного в акте согласования технологической и (или) аварийной брони.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16 в ред. </w:t>
      </w:r>
      <w:hyperlink r:id="rId1205"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300" w:name="Par3946"/>
      <w:bookmarkEnd w:id="300"/>
      <w:r>
        <w:rPr>
          <w:rFonts w:ascii="Arial" w:hAnsi="Arial" w:cs="Arial"/>
          <w:sz w:val="20"/>
          <w:szCs w:val="20"/>
        </w:rPr>
        <w:t>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согласования технологической и (или) аварийной брони или в этом акте не указан уровень аварийной брони):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течение 3 дней представить исполнителю (субисполнителю) и инициатору введения ограничения утвержденный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срок, предусмотренный соответствующим планом, выполнить указанные мероприятия;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течение 2 месяцев выполнить мероприятия по установке за свой счет автономных источников питания, обеспечивающих безопасное функционирование его энергопринимающих устройств и (или) объектов электроэнергетики без необходимости потребления электрической энергии из внешней сети, - в случае если в установленный настоящим пунктом срок исполнителю (субисполнителю) не был представлен утвержденный план указанных мероприятий либо если предусмотренный планом срок проведения указанных мероприятий превышает срок, указанный в </w:t>
      </w:r>
      <w:hyperlink w:anchor="Par3943" w:history="1">
        <w:r>
          <w:rPr>
            <w:rFonts w:ascii="Arial" w:hAnsi="Arial" w:cs="Arial"/>
            <w:color w:val="0000FF"/>
            <w:sz w:val="20"/>
            <w:szCs w:val="20"/>
          </w:rPr>
          <w:t>пункте 16</w:t>
        </w:r>
      </w:hyperlink>
      <w:r>
        <w:rPr>
          <w:rFonts w:ascii="Arial" w:hAnsi="Arial" w:cs="Arial"/>
          <w:sz w:val="20"/>
          <w:szCs w:val="20"/>
        </w:rPr>
        <w:t xml:space="preserve"> настоящих Правил.</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После выполнения этих мероприятий потребитель обязан направить исполнителю (субисполнителю) и инициатору введения ограничения уведомление о готовности к введению полного ограничения режима потребления.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16(1) введен </w:t>
      </w:r>
      <w:hyperlink r:id="rId1206"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17. Введение ограничения режима потребления в отношении индивидуальных предпринимателей, граждан - потребителей электрической энергии, за исключением граждан - потребителей коммунальной услуги по электроснабжению, осуществляется в соответствии с требованиями, установленными настоящими Правилами.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17 в ред. </w:t>
      </w:r>
      <w:hyperlink r:id="rId1207"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17(1). Введение ограничения режима потребления в отношении граждан - потребителей коммунальной услуги по электроснабжению осуществляется по основаниям и в порядке, которые установлены жилищным законодательством Российской Федерации.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17(1) введен </w:t>
      </w:r>
      <w:hyperlink r:id="rId1208"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18. В случае если до указанной в уведомлении о введении ограничения режима потребления даты введения ограничения режима потребления потребитель устранил основания для введения такого ограничения, ограничение режима потребления не вводится.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если на дату, указанную в уведомлении об ограничении режима потребления, ранее введено полное ограничение режима потребления или частичное ограничение режима потребления до уровня, равного или превышающего уровень, указанный в данном уведомлении, ограничение режима потребления соответствующего типа считается введенным на дату и время, указанные в данном уведомлении.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Отказ потребителя от признания задолженности, указанной в уведомлении о введении ограничения режима потребления, не является препятствием для введения ограничения режима потребления.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18 в ред. </w:t>
      </w:r>
      <w:hyperlink r:id="rId1209"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301" w:name="Par3960"/>
      <w:bookmarkEnd w:id="301"/>
      <w:r>
        <w:rPr>
          <w:rFonts w:ascii="Arial" w:hAnsi="Arial" w:cs="Arial"/>
          <w:sz w:val="20"/>
          <w:szCs w:val="20"/>
        </w:rPr>
        <w:t xml:space="preserve">19. Возобновление подачи электрической энергии или прекращение процедуры введения ограничения режима потребления с учетом положений </w:t>
      </w:r>
      <w:hyperlink w:anchor="Par3994" w:history="1">
        <w:r>
          <w:rPr>
            <w:rFonts w:ascii="Arial" w:hAnsi="Arial" w:cs="Arial"/>
            <w:color w:val="0000FF"/>
            <w:sz w:val="20"/>
            <w:szCs w:val="20"/>
          </w:rPr>
          <w:t>пункта 19(2)</w:t>
        </w:r>
      </w:hyperlink>
      <w:r>
        <w:rPr>
          <w:rFonts w:ascii="Arial" w:hAnsi="Arial" w:cs="Arial"/>
          <w:sz w:val="20"/>
          <w:szCs w:val="20"/>
        </w:rPr>
        <w:t xml:space="preserve">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Не позднее чем в течение 1 часа после получения указанного уведомления при условии устранения оснований для введения ограничения режима потребления инициатор введения ограничения обязан передать исполнителю (субисполнителю) и потребителю уведомление о возобновлении подачи электрической энергии или о прекращении процедуры введения ограничения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если ограничение режима потребления вводится субисполнителем, исполнитель по получении уведомления о возобновлении подачи электрической энергии или о прекращении процедуры введения ограничения режима потребления обязан передать его субисполнителю не позднее чем в течение одного часа после получения.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После получения в установленном порядке уведомления о возобновлении подачи электрической энергии или о прекращении процедуры введения ограничения режима потребления исполнитель (субисполнитель) прекращает указанную процедуру, если на дату получения указанного уведомления ограничение режима потребления не введено, либо выполняет организационно-технические мероприятия, необходимые для возобновления снабжения электрической энергией потребителя, в отношении энергопринимающих устройств и (или) объектов электроэнергетики которого было введено ограничение режима потребления, в срок, не превышающий 23 часов, или субисполнитель - в срок, не превышающий 22 часов со времени получения соответствующего уведомления, с учетом положений </w:t>
      </w:r>
      <w:hyperlink w:anchor="Par3994" w:history="1">
        <w:r>
          <w:rPr>
            <w:rFonts w:ascii="Arial" w:hAnsi="Arial" w:cs="Arial"/>
            <w:color w:val="0000FF"/>
            <w:sz w:val="20"/>
            <w:szCs w:val="20"/>
          </w:rPr>
          <w:t>пункта 19(2)</w:t>
        </w:r>
      </w:hyperlink>
      <w:r>
        <w:rPr>
          <w:rFonts w:ascii="Arial" w:hAnsi="Arial" w:cs="Arial"/>
          <w:sz w:val="20"/>
          <w:szCs w:val="20"/>
        </w:rPr>
        <w:t xml:space="preserve"> настоящих Правил. При этом в случае если в отношении потребителя ограничение режима потребления было инициировано 2 и более лицами, имеющими в соответствии с </w:t>
      </w:r>
      <w:hyperlink w:anchor="Par3742" w:history="1">
        <w:r>
          <w:rPr>
            <w:rFonts w:ascii="Arial" w:hAnsi="Arial" w:cs="Arial"/>
            <w:color w:val="0000FF"/>
            <w:sz w:val="20"/>
            <w:szCs w:val="20"/>
          </w:rPr>
          <w:t>пунктом 4</w:t>
        </w:r>
      </w:hyperlink>
      <w:r>
        <w:rPr>
          <w:rFonts w:ascii="Arial" w:hAnsi="Arial" w:cs="Arial"/>
          <w:sz w:val="20"/>
          <w:szCs w:val="20"/>
        </w:rPr>
        <w:t xml:space="preserve"> настоящих Правил право инициировать введение ограничения режима потребления, возобновление подачи электрической энергии такому потребителю или прекращение процедуры введения ограничения режима потребления осуществляется только после устранения потребителем всех возникших в отношении его энергопринимающих устройств и (или) объектов электроэнергетики оснований для введения ограничения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В случае если лицом, непосредственно обязанным выполнить действия по возобновлению подачи электрической энергии или прекращению процедуры введения ограничения режима потребления, является инициатор введения ограничения, указанные действия осуществляются не позднее чем через 24 часа со времени получения этим лицом уведомления, предусмотренного </w:t>
      </w:r>
      <w:hyperlink w:anchor="Par3960" w:history="1">
        <w:r>
          <w:rPr>
            <w:rFonts w:ascii="Arial" w:hAnsi="Arial" w:cs="Arial"/>
            <w:color w:val="0000FF"/>
            <w:sz w:val="20"/>
            <w:szCs w:val="20"/>
          </w:rPr>
          <w:t>абзацем первым</w:t>
        </w:r>
      </w:hyperlink>
      <w:r>
        <w:rPr>
          <w:rFonts w:ascii="Arial" w:hAnsi="Arial" w:cs="Arial"/>
          <w:sz w:val="20"/>
          <w:szCs w:val="20"/>
        </w:rPr>
        <w:t xml:space="preserve"> настоящего пункта, при условии устранения соответствующих оснований. При этом направление уведомления о возобновлении подачи электрической энергии или о прекращении процедуры введения ограничения режима потребления не осуществляется.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если ограничение режима потребления введено в связи с выявлением обстоятельств, предусмотренных </w:t>
      </w:r>
      <w:hyperlink w:anchor="Par3707" w:history="1">
        <w:r>
          <w:rPr>
            <w:rFonts w:ascii="Arial" w:hAnsi="Arial" w:cs="Arial"/>
            <w:color w:val="0000FF"/>
            <w:sz w:val="20"/>
            <w:szCs w:val="20"/>
          </w:rPr>
          <w:t>подпунктом "а" пункта 2</w:t>
        </w:r>
      </w:hyperlink>
      <w:r>
        <w:rPr>
          <w:rFonts w:ascii="Arial" w:hAnsi="Arial" w:cs="Arial"/>
          <w:sz w:val="20"/>
          <w:szCs w:val="20"/>
        </w:rPr>
        <w:t xml:space="preserve"> настоящих Правил на срок, определенный в требовании судебного пристава-исполнителя, под устранением оснований для введения ограничения режима потребления понимается истечение срока, указанного в соответствующем требовании, либо поступление от судебного пристава-исполнителя сведений, свидетельствующих о необходимости возобновления подачи электрической энергии либо прекращения процедуры введения ограничения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если ограничение режима потребления введено в связи с выявлением обстоятельств, предусмотренных </w:t>
      </w:r>
      <w:hyperlink w:anchor="Par3709" w:history="1">
        <w:r>
          <w:rPr>
            <w:rFonts w:ascii="Arial" w:hAnsi="Arial" w:cs="Arial"/>
            <w:color w:val="0000FF"/>
            <w:sz w:val="20"/>
            <w:szCs w:val="20"/>
          </w:rPr>
          <w:t>абзацами вторым</w:t>
        </w:r>
      </w:hyperlink>
      <w:r>
        <w:rPr>
          <w:rFonts w:ascii="Arial" w:hAnsi="Arial" w:cs="Arial"/>
          <w:sz w:val="20"/>
          <w:szCs w:val="20"/>
        </w:rPr>
        <w:t xml:space="preserve"> и </w:t>
      </w:r>
      <w:hyperlink w:anchor="Par3710" w:history="1">
        <w:r>
          <w:rPr>
            <w:rFonts w:ascii="Arial" w:hAnsi="Arial" w:cs="Arial"/>
            <w:color w:val="0000FF"/>
            <w:sz w:val="20"/>
            <w:szCs w:val="20"/>
          </w:rPr>
          <w:t>третьим подпункта "б" пункта 2</w:t>
        </w:r>
      </w:hyperlink>
      <w:r>
        <w:rPr>
          <w:rFonts w:ascii="Arial" w:hAnsi="Arial" w:cs="Arial"/>
          <w:sz w:val="20"/>
          <w:szCs w:val="20"/>
        </w:rPr>
        <w:t xml:space="preserve"> настоящих Правил, под устранением оснований для введения ограничения режима потребления понимается поступление денежных средств в размере задолженности в адрес инициатора введения ограничения. Возобновление подачи электрической энергии в случае введения ограничения режима потребления в связи с наступлением обстоятельств, указанных в </w:t>
      </w:r>
      <w:hyperlink w:anchor="Par3709" w:history="1">
        <w:r>
          <w:rPr>
            <w:rFonts w:ascii="Arial" w:hAnsi="Arial" w:cs="Arial"/>
            <w:color w:val="0000FF"/>
            <w:sz w:val="20"/>
            <w:szCs w:val="20"/>
          </w:rPr>
          <w:t>абзацах втором</w:t>
        </w:r>
      </w:hyperlink>
      <w:r>
        <w:rPr>
          <w:rFonts w:ascii="Arial" w:hAnsi="Arial" w:cs="Arial"/>
          <w:sz w:val="20"/>
          <w:szCs w:val="20"/>
        </w:rPr>
        <w:t xml:space="preserve"> и </w:t>
      </w:r>
      <w:hyperlink w:anchor="Par3710" w:history="1">
        <w:r>
          <w:rPr>
            <w:rFonts w:ascii="Arial" w:hAnsi="Arial" w:cs="Arial"/>
            <w:color w:val="0000FF"/>
            <w:sz w:val="20"/>
            <w:szCs w:val="20"/>
          </w:rPr>
          <w:t>третьем подпункта "б" пункта 2</w:t>
        </w:r>
      </w:hyperlink>
      <w:r>
        <w:rPr>
          <w:rFonts w:ascii="Arial" w:hAnsi="Arial" w:cs="Arial"/>
          <w:sz w:val="20"/>
          <w:szCs w:val="20"/>
        </w:rPr>
        <w:t xml:space="preserve"> настоящих Правил, также может быть осуществлено по соглашению инициатора введения ограничения и потребителя в порядке и в сроки, которые указаны в таком соглашении.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если ограничение режима потребления введено в связи с выявлением обстоятельств, предусмотренных </w:t>
      </w:r>
      <w:hyperlink w:anchor="Par3711" w:history="1">
        <w:r>
          <w:rPr>
            <w:rFonts w:ascii="Arial" w:hAnsi="Arial" w:cs="Arial"/>
            <w:color w:val="0000FF"/>
            <w:sz w:val="20"/>
            <w:szCs w:val="20"/>
          </w:rPr>
          <w:t>абзацами четвертым</w:t>
        </w:r>
      </w:hyperlink>
      <w:r>
        <w:rPr>
          <w:rFonts w:ascii="Arial" w:hAnsi="Arial" w:cs="Arial"/>
          <w:sz w:val="20"/>
          <w:szCs w:val="20"/>
        </w:rPr>
        <w:t xml:space="preserve"> и </w:t>
      </w:r>
      <w:hyperlink w:anchor="Par3713" w:history="1">
        <w:r>
          <w:rPr>
            <w:rFonts w:ascii="Arial" w:hAnsi="Arial" w:cs="Arial"/>
            <w:color w:val="0000FF"/>
            <w:sz w:val="20"/>
            <w:szCs w:val="20"/>
          </w:rPr>
          <w:t>пятым подпункта "б" пункта 2</w:t>
        </w:r>
      </w:hyperlink>
      <w:r>
        <w:rPr>
          <w:rFonts w:ascii="Arial" w:hAnsi="Arial" w:cs="Arial"/>
          <w:sz w:val="20"/>
          <w:szCs w:val="20"/>
        </w:rPr>
        <w:t xml:space="preserve"> настоящих Правил, под устранением оснований для введения ограничения режима потребления понимается составление и подписание акта об устранении оснований для введения ограничения режима потребления потребителем и инициатором введения ограничения.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если ограничение режима потребления введено в связи с выявлением обстоятельств, предусмотренных </w:t>
      </w:r>
      <w:hyperlink w:anchor="Par3716" w:history="1">
        <w:r>
          <w:rPr>
            <w:rFonts w:ascii="Arial" w:hAnsi="Arial" w:cs="Arial"/>
            <w:color w:val="0000FF"/>
            <w:sz w:val="20"/>
            <w:szCs w:val="20"/>
          </w:rPr>
          <w:t>подпунктом "в" пункта 2</w:t>
        </w:r>
      </w:hyperlink>
      <w:r>
        <w:rPr>
          <w:rFonts w:ascii="Arial" w:hAnsi="Arial" w:cs="Arial"/>
          <w:sz w:val="20"/>
          <w:szCs w:val="20"/>
        </w:rPr>
        <w:t xml:space="preserve"> настоящих Правил, под устранением оснований для введения ограничения режима потребления понимается соответственно заключение и начало исполнения потребителем условий нового договора.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если ограничение режима потребления введено в связи с выявлением обстоятельств, предусмотренных </w:t>
      </w:r>
      <w:hyperlink w:anchor="Par3717" w:history="1">
        <w:r>
          <w:rPr>
            <w:rFonts w:ascii="Arial" w:hAnsi="Arial" w:cs="Arial"/>
            <w:color w:val="0000FF"/>
            <w:sz w:val="20"/>
            <w:szCs w:val="20"/>
          </w:rPr>
          <w:t>подпунктом "г" пункта 2</w:t>
        </w:r>
      </w:hyperlink>
      <w:r>
        <w:rPr>
          <w:rFonts w:ascii="Arial" w:hAnsi="Arial" w:cs="Arial"/>
          <w:sz w:val="20"/>
          <w:szCs w:val="20"/>
        </w:rPr>
        <w:t xml:space="preserve"> настоящих Правил, под устранением оснований для введения ограничения режима потребления понимается заключение лицом, осуществляющим бездоговорное потребление электрической энергии, договора, обеспечивающего продажу ему электрической энергии (мощности), и исполнение им обязательств по оплате электрической энергии, потребленной без заключенного в установленном порядке договора.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если ограничение режима потребления введено в связи с выявлением обстоятельств, предусмотренных </w:t>
      </w:r>
      <w:hyperlink w:anchor="Par3718" w:history="1">
        <w:r>
          <w:rPr>
            <w:rFonts w:ascii="Arial" w:hAnsi="Arial" w:cs="Arial"/>
            <w:color w:val="0000FF"/>
            <w:sz w:val="20"/>
            <w:szCs w:val="20"/>
          </w:rPr>
          <w:t>подпунктами "д"</w:t>
        </w:r>
      </w:hyperlink>
      <w:r>
        <w:rPr>
          <w:rFonts w:ascii="Arial" w:hAnsi="Arial" w:cs="Arial"/>
          <w:sz w:val="20"/>
          <w:szCs w:val="20"/>
        </w:rPr>
        <w:t xml:space="preserve"> и </w:t>
      </w:r>
      <w:hyperlink w:anchor="Par3720" w:history="1">
        <w:r>
          <w:rPr>
            <w:rFonts w:ascii="Arial" w:hAnsi="Arial" w:cs="Arial"/>
            <w:color w:val="0000FF"/>
            <w:sz w:val="20"/>
            <w:szCs w:val="20"/>
          </w:rPr>
          <w:t>"ж" пункта 2</w:t>
        </w:r>
      </w:hyperlink>
      <w:r>
        <w:rPr>
          <w:rFonts w:ascii="Arial" w:hAnsi="Arial" w:cs="Arial"/>
          <w:sz w:val="20"/>
          <w:szCs w:val="20"/>
        </w:rPr>
        <w:t xml:space="preserve"> настоящих Правил, под устранением оснований для введения ограничения режима потребления понимается завершение процедуры технологического присоединения энергопринимающих устройств потребителя к объектам электросетевого хозяйства в соответствии с </w:t>
      </w:r>
      <w:hyperlink r:id="rId1210" w:history="1">
        <w:r>
          <w:rPr>
            <w:rFonts w:ascii="Arial" w:hAnsi="Arial" w:cs="Arial"/>
            <w:color w:val="0000FF"/>
            <w:sz w:val="20"/>
            <w:szCs w:val="20"/>
          </w:rPr>
          <w:t>Правилами</w:t>
        </w:r>
      </w:hyperlink>
      <w:r>
        <w:rPr>
          <w:rFonts w:ascii="Arial" w:hAnsi="Arial" w:cs="Arial"/>
          <w:sz w:val="20"/>
          <w:szCs w:val="20"/>
        </w:rP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если ограничение режима потребления введено в связи с выявлением обстоятельств, предусмотренных </w:t>
      </w:r>
      <w:hyperlink w:anchor="Par3719" w:history="1">
        <w:r>
          <w:rPr>
            <w:rFonts w:ascii="Arial" w:hAnsi="Arial" w:cs="Arial"/>
            <w:color w:val="0000FF"/>
            <w:sz w:val="20"/>
            <w:szCs w:val="20"/>
          </w:rPr>
          <w:t>подпунктом "е" пункта 2</w:t>
        </w:r>
      </w:hyperlink>
      <w:r>
        <w:rPr>
          <w:rFonts w:ascii="Arial" w:hAnsi="Arial" w:cs="Arial"/>
          <w:sz w:val="20"/>
          <w:szCs w:val="20"/>
        </w:rPr>
        <w:t xml:space="preserve"> настоящих Правил, под устранением оснований для введения </w:t>
      </w:r>
      <w:r>
        <w:rPr>
          <w:rFonts w:ascii="Arial" w:hAnsi="Arial" w:cs="Arial"/>
          <w:sz w:val="20"/>
          <w:szCs w:val="20"/>
        </w:rPr>
        <w:lastRenderedPageBreak/>
        <w:t xml:space="preserve">ограничения режима потребления понимается получение инициатором введения ограничения уведомления, предусмотренного </w:t>
      </w:r>
      <w:hyperlink w:anchor="Par3960" w:history="1">
        <w:r>
          <w:rPr>
            <w:rFonts w:ascii="Arial" w:hAnsi="Arial" w:cs="Arial"/>
            <w:color w:val="0000FF"/>
            <w:sz w:val="20"/>
            <w:szCs w:val="20"/>
          </w:rPr>
          <w:t>абзацем первым</w:t>
        </w:r>
      </w:hyperlink>
      <w:r>
        <w:rPr>
          <w:rFonts w:ascii="Arial" w:hAnsi="Arial" w:cs="Arial"/>
          <w:sz w:val="20"/>
          <w:szCs w:val="20"/>
        </w:rPr>
        <w:t xml:space="preserve"> настоящего пункта.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Возобновление подачи электрической энергии может быть осуществлено на основании решения суда в порядке и в сроки, которые указаны в таком решении.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Возобновление подачи электрической энергии также осуществляется в случае признания ограничения режима потребления необоснованным инициатором введения такого ограничения.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19 в ред. </w:t>
      </w:r>
      <w:hyperlink r:id="rId1211"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19(1). При возобновлении подачи электрической энергии исполнителем (субисполнителем) составляется акт о возобновлении подачи электрической энергии, содержащий следующую информацию: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описание точки поставки, сформированной в отношении энергопринимающих устройств и (или) объектов электроэнергетики, в отношении которых возобновлена подача электрической энергии, либо перечень точек поставки, если указанных точек 2 и более;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место, дата и время составления акта;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дата и время возобновления подачи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уровень, до которого возобновлена подача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адрес, по которому производятся действия по возобновлению подачи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технические мероприятия на объектах электросетевого хозяйства исполнителя (субисполнителя), посредством которых осуществлено возобновление подачи электрической энергии, с указанием места установки включенных коммутационных аппаратов (при наличии);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номера, место установки и показания приборов учета, используемых в соответствии с </w:t>
      </w:r>
      <w:hyperlink w:anchor="Par3875" w:history="1">
        <w:r>
          <w:rPr>
            <w:rFonts w:ascii="Arial" w:hAnsi="Arial" w:cs="Arial"/>
            <w:color w:val="0000FF"/>
            <w:sz w:val="20"/>
            <w:szCs w:val="20"/>
          </w:rPr>
          <w:t>пунктом 12(1)</w:t>
        </w:r>
      </w:hyperlink>
      <w:r>
        <w:rPr>
          <w:rFonts w:ascii="Arial" w:hAnsi="Arial" w:cs="Arial"/>
          <w:sz w:val="20"/>
          <w:szCs w:val="20"/>
        </w:rPr>
        <w:t xml:space="preserve"> настоящих Правил для контроля соблюдения потребителем введенного ограничения режима потребления, на дату и время возобновления подачи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фамилия, имя и отчество (при наличии) лица, уполномоченного на подписание акта от имени потребителя.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если в отношении энергопринимающих устройств и (или) объектов электроэнергетики потребителя подача электрической энергии не была возобновлена, исполнитель (субисполнитель) указывает в акте причины, по которым подача электрической энергии не была возобновлена.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Акт о возобновлении подачи электрической энергии составляется в 3 экземплярах (в 4 экземплярах - если ограничение режима потребления введено субисполнителем) и подписывается заинтересованными лицами, присутствующими при его составлении.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Присутствующим при его составлении заинтересованным лицам - инициатору введения ограничения, исполнителю (если акт составляется субисполнителем) и потребителю - вручается по одному экземпляру акта. В случае отсутствия при составлении акта заинтересованных лиц (инициатора введения ограничения, исполнителя, потребителя) указанный акт направляется исполнителем (субисполнителем) в течение одного рабочего дня после дня его подписания отсутствовавшим при его составлении лицам.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если ограничение режима потребления введено по инициативе сетевой организации, указанная сетевая организация (субисполнитель) в течение одного рабочего дня после дня подписания </w:t>
      </w:r>
      <w:r>
        <w:rPr>
          <w:rFonts w:ascii="Arial" w:hAnsi="Arial" w:cs="Arial"/>
          <w:sz w:val="20"/>
          <w:szCs w:val="20"/>
        </w:rPr>
        <w:lastRenderedPageBreak/>
        <w:t>акта также направляет один экземпляр акта лицу, с которым потребителем заключен договор энергоснабжения (купли-продажи (поставки) электрической энергии (мощности)), - при наличии такого договора.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если акт о возобновлении подачи электрической энергии был составлен инициатором введения ограничения, направление акта заинтересованным лицам, не присутствовавшим при его составлении, осуществляет инициатор введения ограничения в порядке, установленном настоящим пунктом.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Возобновление подачи электрической энергии после введения ограничения режима потребления по всем основаниям, за исключением оснований, указанных в </w:t>
      </w:r>
      <w:hyperlink w:anchor="Par3718" w:history="1">
        <w:r>
          <w:rPr>
            <w:rFonts w:ascii="Arial" w:hAnsi="Arial" w:cs="Arial"/>
            <w:color w:val="0000FF"/>
            <w:sz w:val="20"/>
            <w:szCs w:val="20"/>
          </w:rPr>
          <w:t>подпунктах "д"</w:t>
        </w:r>
      </w:hyperlink>
      <w:r>
        <w:rPr>
          <w:rFonts w:ascii="Arial" w:hAnsi="Arial" w:cs="Arial"/>
          <w:sz w:val="20"/>
          <w:szCs w:val="20"/>
        </w:rPr>
        <w:t xml:space="preserve"> и </w:t>
      </w:r>
      <w:hyperlink w:anchor="Par3720" w:history="1">
        <w:r>
          <w:rPr>
            <w:rFonts w:ascii="Arial" w:hAnsi="Arial" w:cs="Arial"/>
            <w:color w:val="0000FF"/>
            <w:sz w:val="20"/>
            <w:szCs w:val="20"/>
          </w:rPr>
          <w:t>"ж" пункта 2</w:t>
        </w:r>
      </w:hyperlink>
      <w:r>
        <w:rPr>
          <w:rFonts w:ascii="Arial" w:hAnsi="Arial" w:cs="Arial"/>
          <w:sz w:val="20"/>
          <w:szCs w:val="20"/>
        </w:rPr>
        <w:t xml:space="preserve"> настоящих Правил, не может рассматриваться как новое технологическое присоединение и не требует заключения нового договора об осуществлении технологического присоединения энергопринимающих устройств потребителя.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19(1) введен </w:t>
      </w:r>
      <w:hyperlink r:id="rId1212"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302" w:name="Par3994"/>
      <w:bookmarkEnd w:id="302"/>
      <w:r>
        <w:rPr>
          <w:rFonts w:ascii="Arial" w:hAnsi="Arial" w:cs="Arial"/>
          <w:sz w:val="20"/>
          <w:szCs w:val="20"/>
        </w:rPr>
        <w:t>19(2). В случае если для возобновления подачи электрической энергии требуется изменение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владелец соответствующих энергопринимающих устройств и (или) объектов электроэнергетики обязан подать диспетчерскую заявку в диспетчерский центр субъекта оперативно-диспетчерского управления в электроэнергетике в порядке, установленном правилами оформления, подачи, рассмотрения и согласования диспетчерских заявок, утвержденными субъектом оперативно-диспетчерского управления в электроэнергетике. Субъект оперативно-диспетчерского управления в электроэнергетике осуществляет рассмотрение и согласование диспетчерской заявки в срок, не превышающий одного рабочего дня.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 решению субъекта оперативно-диспетчерского управления в электроэнергетике указанный срок может быть продлен до 5 рабочих дней в случае необходимости: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согласования диспетчерской заявки с вышестоящим или смежным диспетчерским центром или получения от других субъектов электроэнергетики, потребителей подтверждения возможности ее выполнения;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согласования диспетчерской заявки с организацией, осуществляющей функции оперативно-диспетчерского управления зарубежной электроэнергетической системой;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проведения расчетов электроэнергетических режимов для определения алгоритмов работы и расчета параметров настройки устройств релейной защиты, противоаварийной и режимной автоматики на этом и (или) смежных или иным образом технологически связанных энергопринимающих устройствах и (или) объектах электроэнергетики;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проведения расчетов электроэнергетических режимов в целях определения мероприятий, направленных на исключение превышения параметров электроэнергетического режима сверх допустимых для этих параметров величин после изменения технологического режима работы или эксплуатационного состояния соответствующего энергопринимающего устройства и (или) объекта электроэнергетики.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Срок возобновления подачи электрической энергии потребителю определяется в согласованной диспетчерской заявке с учетом выполнения владельцем энергопринимающего устройства и (или) объекта электроэнергетики требований и мероприятий, определенных субъектом оперативно-диспетчерского управления в электроэнергетике в решении о согласовании диспетчерской заявки.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19(2) введен </w:t>
      </w:r>
      <w:hyperlink r:id="rId1213"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303" w:name="Par4002"/>
      <w:bookmarkEnd w:id="303"/>
      <w:r>
        <w:rPr>
          <w:rFonts w:ascii="Arial" w:hAnsi="Arial" w:cs="Arial"/>
          <w:sz w:val="20"/>
          <w:szCs w:val="20"/>
        </w:rPr>
        <w:t xml:space="preserve">20. Инициатор введения ограничения, являющийся гарантирующим поставщиком, энергосбытовой (энергоснабжающей) организацией или производителем электрической энергии на розничном рынке,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w:t>
      </w:r>
      <w:hyperlink w:anchor="Par3709" w:history="1">
        <w:r>
          <w:rPr>
            <w:rFonts w:ascii="Arial" w:hAnsi="Arial" w:cs="Arial"/>
            <w:color w:val="0000FF"/>
            <w:sz w:val="20"/>
            <w:szCs w:val="20"/>
          </w:rPr>
          <w:t>абзацах втором</w:t>
        </w:r>
      </w:hyperlink>
      <w:r>
        <w:rPr>
          <w:rFonts w:ascii="Arial" w:hAnsi="Arial" w:cs="Arial"/>
          <w:sz w:val="20"/>
          <w:szCs w:val="20"/>
        </w:rPr>
        <w:t xml:space="preserve"> и </w:t>
      </w:r>
      <w:hyperlink w:anchor="Par3711" w:history="1">
        <w:r>
          <w:rPr>
            <w:rFonts w:ascii="Arial" w:hAnsi="Arial" w:cs="Arial"/>
            <w:color w:val="0000FF"/>
            <w:sz w:val="20"/>
            <w:szCs w:val="20"/>
          </w:rPr>
          <w:t>четвертом подпункта "б"</w:t>
        </w:r>
      </w:hyperlink>
      <w:r>
        <w:rPr>
          <w:rFonts w:ascii="Arial" w:hAnsi="Arial" w:cs="Arial"/>
          <w:sz w:val="20"/>
          <w:szCs w:val="20"/>
        </w:rPr>
        <w:t xml:space="preserve"> и </w:t>
      </w:r>
      <w:hyperlink w:anchor="Par3718" w:history="1">
        <w:r>
          <w:rPr>
            <w:rFonts w:ascii="Arial" w:hAnsi="Arial" w:cs="Arial"/>
            <w:color w:val="0000FF"/>
            <w:sz w:val="20"/>
            <w:szCs w:val="20"/>
          </w:rPr>
          <w:t>подпункте "д" пункта 2</w:t>
        </w:r>
      </w:hyperlink>
      <w:r>
        <w:rPr>
          <w:rFonts w:ascii="Arial" w:hAnsi="Arial" w:cs="Arial"/>
          <w:sz w:val="20"/>
          <w:szCs w:val="20"/>
        </w:rPr>
        <w:t xml:space="preserve"> настоящих Правил, компенсации понесенных расходов, связанных с оплатой действий исполнителя (субисполнителя) по введению ограничения режима потребления такого потребителя и возобновлению подачи электрической энергии, а также с совершением им действий, предусмотренных настоящими Правилами.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304" w:name="Par4003"/>
      <w:bookmarkEnd w:id="304"/>
      <w:r>
        <w:rPr>
          <w:rFonts w:ascii="Arial" w:hAnsi="Arial" w:cs="Arial"/>
          <w:sz w:val="20"/>
          <w:szCs w:val="20"/>
        </w:rPr>
        <w:lastRenderedPageBreak/>
        <w:t xml:space="preserve">Инициатор введения ограничения, являющийся сетевой организацией, оказывающей услуги по передаче электрической энергии в точке (точках) поставки, сформированной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 сетевой организацией или иным лицом, не оказывающими услуг по передаче электрической энергии,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(лица, осуществляющего бездоговорное потребление электрической энергии),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w:t>
      </w:r>
      <w:hyperlink w:anchor="Par3710" w:history="1">
        <w:r>
          <w:rPr>
            <w:rFonts w:ascii="Arial" w:hAnsi="Arial" w:cs="Arial"/>
            <w:color w:val="0000FF"/>
            <w:sz w:val="20"/>
            <w:szCs w:val="20"/>
          </w:rPr>
          <w:t>абзацах третьем</w:t>
        </w:r>
      </w:hyperlink>
      <w:r>
        <w:rPr>
          <w:rFonts w:ascii="Arial" w:hAnsi="Arial" w:cs="Arial"/>
          <w:sz w:val="20"/>
          <w:szCs w:val="20"/>
        </w:rPr>
        <w:t xml:space="preserve"> - </w:t>
      </w:r>
      <w:hyperlink w:anchor="Par3713" w:history="1">
        <w:r>
          <w:rPr>
            <w:rFonts w:ascii="Arial" w:hAnsi="Arial" w:cs="Arial"/>
            <w:color w:val="0000FF"/>
            <w:sz w:val="20"/>
            <w:szCs w:val="20"/>
          </w:rPr>
          <w:t>пятом подпункта "б"</w:t>
        </w:r>
      </w:hyperlink>
      <w:r>
        <w:rPr>
          <w:rFonts w:ascii="Arial" w:hAnsi="Arial" w:cs="Arial"/>
          <w:sz w:val="20"/>
          <w:szCs w:val="20"/>
        </w:rPr>
        <w:t xml:space="preserve"> и </w:t>
      </w:r>
      <w:hyperlink w:anchor="Par3718" w:history="1">
        <w:r>
          <w:rPr>
            <w:rFonts w:ascii="Arial" w:hAnsi="Arial" w:cs="Arial"/>
            <w:color w:val="0000FF"/>
            <w:sz w:val="20"/>
            <w:szCs w:val="20"/>
          </w:rPr>
          <w:t>подпункте "д" пункта 2</w:t>
        </w:r>
      </w:hyperlink>
      <w:r>
        <w:rPr>
          <w:rFonts w:ascii="Arial" w:hAnsi="Arial" w:cs="Arial"/>
          <w:sz w:val="20"/>
          <w:szCs w:val="20"/>
        </w:rPr>
        <w:t xml:space="preserve"> настоящих Правил, компенсации расходов, понесенных такой сетевой организацией (таким лицом) в связи с введением ограничения режима потребления и последующим возобновлением подачи электрической энергии, в том числе понесенных расходов на оплату действий субисполнителя по введению ограничения режима потребления и последующему возобновлению подачи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Инициатор введения ограничения не вправе предъявлять потребителю требования о компенсации понесенных им расходов, указанных в </w:t>
      </w:r>
      <w:hyperlink w:anchor="Par4002" w:history="1">
        <w:r>
          <w:rPr>
            <w:rFonts w:ascii="Arial" w:hAnsi="Arial" w:cs="Arial"/>
            <w:color w:val="0000FF"/>
            <w:sz w:val="20"/>
            <w:szCs w:val="20"/>
          </w:rPr>
          <w:t>абзаце первом</w:t>
        </w:r>
      </w:hyperlink>
      <w:r>
        <w:rPr>
          <w:rFonts w:ascii="Arial" w:hAnsi="Arial" w:cs="Arial"/>
          <w:sz w:val="20"/>
          <w:szCs w:val="20"/>
        </w:rPr>
        <w:t xml:space="preserve"> настоящего пункта, в случае признания ограничения режима потребления незаконным по решению суда или признания ограничения режима потребления инициатором введения ограничения необоснованным, о чем последний уведомляет в письменной форме исполнителя (субисполнителя) и потребителя.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Размер компенсации понесенных инициатором введения ограничения расходов, указанных в </w:t>
      </w:r>
      <w:hyperlink w:anchor="Par4002" w:history="1">
        <w:r>
          <w:rPr>
            <w:rFonts w:ascii="Arial" w:hAnsi="Arial" w:cs="Arial"/>
            <w:color w:val="0000FF"/>
            <w:sz w:val="20"/>
            <w:szCs w:val="20"/>
          </w:rPr>
          <w:t>абзацах первом</w:t>
        </w:r>
      </w:hyperlink>
      <w:r>
        <w:rPr>
          <w:rFonts w:ascii="Arial" w:hAnsi="Arial" w:cs="Arial"/>
          <w:sz w:val="20"/>
          <w:szCs w:val="20"/>
        </w:rPr>
        <w:t xml:space="preserve"> и </w:t>
      </w:r>
      <w:hyperlink w:anchor="Par4003" w:history="1">
        <w:r>
          <w:rPr>
            <w:rFonts w:ascii="Arial" w:hAnsi="Arial" w:cs="Arial"/>
            <w:color w:val="0000FF"/>
            <w:sz w:val="20"/>
            <w:szCs w:val="20"/>
          </w:rPr>
          <w:t>втором</w:t>
        </w:r>
      </w:hyperlink>
      <w:r>
        <w:rPr>
          <w:rFonts w:ascii="Arial" w:hAnsi="Arial" w:cs="Arial"/>
          <w:sz w:val="20"/>
          <w:szCs w:val="20"/>
        </w:rPr>
        <w:t xml:space="preserve"> настоящего пункта, не может превышать 10000 рублей (для граждан - потребителей электрической энергии - 1000 рублей).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если расходы на совершение действий по введению ограничения режима потребления и (или) последующему возобновлению подачи электрической энергии учтены в тарифах исполнителя на услуги по передаче электрической энергии, оплата таких действий исполнителя не производится, при этом инициатор введения ограничения также не вправе предъявлять потребителю требование о компенсации таких расходов. Информацию об учете указанных расходов в тарифах на услуги по передаче электрической энергии предоставляет орган исполнительной власти субъекта Российской Федерации в области государственного регулирования тарифов.</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20 в ред. </w:t>
      </w:r>
      <w:hyperlink r:id="rId1214"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305" w:name="Par4008"/>
      <w:bookmarkEnd w:id="305"/>
      <w:r>
        <w:rPr>
          <w:rFonts w:ascii="Arial" w:hAnsi="Arial" w:cs="Arial"/>
          <w:sz w:val="20"/>
          <w:szCs w:val="20"/>
        </w:rPr>
        <w:t xml:space="preserve">21. В случае введения полного ограничения режима потребления в связи с наступлением обстоятельств, указанных в </w:t>
      </w:r>
      <w:hyperlink w:anchor="Par3709" w:history="1">
        <w:r>
          <w:rPr>
            <w:rFonts w:ascii="Arial" w:hAnsi="Arial" w:cs="Arial"/>
            <w:color w:val="0000FF"/>
            <w:sz w:val="20"/>
            <w:szCs w:val="20"/>
          </w:rPr>
          <w:t>абзаце втором подпункта "б" пункта 2</w:t>
        </w:r>
      </w:hyperlink>
      <w:r>
        <w:rPr>
          <w:rFonts w:ascii="Arial" w:hAnsi="Arial" w:cs="Arial"/>
          <w:sz w:val="20"/>
          <w:szCs w:val="20"/>
        </w:rPr>
        <w:t xml:space="preserve"> настоящих Правил, с даты введения полного ограничения режима потребления электрической энергии, указанной в уведомлении о необходимости введения ограничения режима потребления, направляемом инициатором введения ограничения исполнителю (субисполнителю), а если указанное ограничение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 с даты, следующей за датой, в которую исполнителем (субисполнителем) получено от потребителя уведомление о готовности к введению полного ограничения режима потребления, до даты прекращения процедуры введения ограничения режима потребления или возобновления подачи электрической энергии, осуществляемых в соответствии с </w:t>
      </w:r>
      <w:hyperlink w:anchor="Par3960" w:history="1">
        <w:r>
          <w:rPr>
            <w:rFonts w:ascii="Arial" w:hAnsi="Arial" w:cs="Arial"/>
            <w:color w:val="0000FF"/>
            <w:sz w:val="20"/>
            <w:szCs w:val="20"/>
          </w:rPr>
          <w:t>пунктом 19</w:t>
        </w:r>
      </w:hyperlink>
      <w:r>
        <w:rPr>
          <w:rFonts w:ascii="Arial" w:hAnsi="Arial" w:cs="Arial"/>
          <w:sz w:val="20"/>
          <w:szCs w:val="20"/>
        </w:rPr>
        <w:t xml:space="preserve"> настоящих Правил:</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исполнение обязательств гарантирующего поставщика, энергосбытовой (энергоснабжающей) организации, производителя электрической энергии (мощности) на розничных рынках по договору энергоснабжения (купли-продажи (поставки) электрической энергии (мощности)) приостанавливается;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потребление электрической энергии является бездоговорным потреблением и влечет последствия бездоговорного потребления, указанные в Основных положениях;</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потребление электрической энергии не может быть квалифицировано как потребление в рамках заключенного договора энергоснабжения (купли-продажи (поставки) электрической энергии (мощности)) по правилам </w:t>
      </w:r>
      <w:hyperlink r:id="rId1215" w:history="1">
        <w:r>
          <w:rPr>
            <w:rFonts w:ascii="Arial" w:hAnsi="Arial" w:cs="Arial"/>
            <w:color w:val="0000FF"/>
            <w:sz w:val="20"/>
            <w:szCs w:val="20"/>
          </w:rPr>
          <w:t>пункта третьего статьи 438</w:t>
        </w:r>
      </w:hyperlink>
      <w:r>
        <w:rPr>
          <w:rFonts w:ascii="Arial" w:hAnsi="Arial" w:cs="Arial"/>
          <w:sz w:val="20"/>
          <w:szCs w:val="20"/>
        </w:rPr>
        <w:t xml:space="preserve"> Гражданского кодекса Российской Федерации.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Действие настоящего пункта не распространяется на случаи введения ограничения режима потребления организацией по управлению единой национальной (общероссийской) электрической сетью.</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21 в ред. </w:t>
      </w:r>
      <w:hyperlink r:id="rId1216"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21(1). Исполнитель (субисполнитель) не несет ответственности перед инициатором введения ограничения за неисполнение или ненадлежащее исполнение обязанности по введению ограничения режима потребления, если такое неисполнение или ненадлежащее исполнение произошло вследствие: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 действия обстоятельств непреодолимой силы;</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б) невозможности выполнения исполнителем (субисполнителем) по независящим от него причинам условий, которые указаны в решении субъекта оперативно-диспетчерского управления в электроэнергетике об отказе в согласовании диспетчерской заявки и при выполнении которых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 может быть согласовано;</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отсутствия технической возможности введения ограничения режима потребления энергопринимающими устройствами и (или) объектами электроэнергетики потребителя с объектов электросетевого хозяйства исполнителя (субисполнителя), а также отсутствия технической возможности совершения указанных действий без ограничения или прекращения подачи электрической энергии иным лицам,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этого потребителя.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21(1) введен </w:t>
      </w:r>
      <w:hyperlink r:id="rId1217"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306" w:name="Par4019"/>
      <w:bookmarkEnd w:id="306"/>
      <w:r>
        <w:rPr>
          <w:rFonts w:ascii="Arial" w:hAnsi="Arial" w:cs="Arial"/>
          <w:sz w:val="20"/>
          <w:szCs w:val="20"/>
        </w:rPr>
        <w:t xml:space="preserve">22. Ограничение режима потребления по основанию, предусмотренному </w:t>
      </w:r>
      <w:hyperlink w:anchor="Par3707" w:history="1">
        <w:r>
          <w:rPr>
            <w:rFonts w:ascii="Arial" w:hAnsi="Arial" w:cs="Arial"/>
            <w:color w:val="0000FF"/>
            <w:sz w:val="20"/>
            <w:szCs w:val="20"/>
          </w:rPr>
          <w:t>подпунктом "а" пункта 2</w:t>
        </w:r>
      </w:hyperlink>
      <w:r>
        <w:rPr>
          <w:rFonts w:ascii="Arial" w:hAnsi="Arial" w:cs="Arial"/>
          <w:sz w:val="20"/>
          <w:szCs w:val="20"/>
        </w:rPr>
        <w:t xml:space="preserve"> настоящих Правил, вводится незамедлительно, а если в законном требовании судебного пристава-исполнителя (далее - требование) указан срок введения ограничения режима потребления, - в соответствующую дату, указанную в требовании.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Инициатор введения ограничения при получении требования незамедлительно направляет потребителю уведомление о введении ограничения режима потребления с указанием даты введения ограничения режима потребления (если в требовании указан срок введения ограничения) либо с указанием на незамедлительное введение этого ограничения (если в требовании такой срок не указан), а также уведомляет об этом лицо, с которым указанным в требовании потребителем заключен договор энергоснабжения (купли-продажи (поставки)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уведомлении, направленном потребителю, указывается информация, предусмотренная </w:t>
      </w:r>
      <w:hyperlink w:anchor="Par3816" w:history="1">
        <w:r>
          <w:rPr>
            <w:rFonts w:ascii="Arial" w:hAnsi="Arial" w:cs="Arial"/>
            <w:color w:val="0000FF"/>
            <w:sz w:val="20"/>
            <w:szCs w:val="20"/>
          </w:rPr>
          <w:t>пунктами 8(1)</w:t>
        </w:r>
      </w:hyperlink>
      <w:r>
        <w:rPr>
          <w:rFonts w:ascii="Arial" w:hAnsi="Arial" w:cs="Arial"/>
          <w:sz w:val="20"/>
          <w:szCs w:val="20"/>
        </w:rPr>
        <w:t xml:space="preserve"> и </w:t>
      </w:r>
      <w:hyperlink w:anchor="Par3827" w:history="1">
        <w:r>
          <w:rPr>
            <w:rFonts w:ascii="Arial" w:hAnsi="Arial" w:cs="Arial"/>
            <w:color w:val="0000FF"/>
            <w:sz w:val="20"/>
            <w:szCs w:val="20"/>
          </w:rPr>
          <w:t>8(2)</w:t>
        </w:r>
      </w:hyperlink>
      <w:r>
        <w:rPr>
          <w:rFonts w:ascii="Arial" w:hAnsi="Arial" w:cs="Arial"/>
          <w:sz w:val="20"/>
          <w:szCs w:val="20"/>
        </w:rP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этом в случаях, предусмотренных </w:t>
      </w:r>
      <w:hyperlink w:anchor="Par3846" w:history="1">
        <w:r>
          <w:rPr>
            <w:rFonts w:ascii="Arial" w:hAnsi="Arial" w:cs="Arial"/>
            <w:color w:val="0000FF"/>
            <w:sz w:val="20"/>
            <w:szCs w:val="20"/>
          </w:rPr>
          <w:t>пунктом 10</w:t>
        </w:r>
      </w:hyperlink>
      <w:r>
        <w:rPr>
          <w:rFonts w:ascii="Arial" w:hAnsi="Arial" w:cs="Arial"/>
          <w:sz w:val="20"/>
          <w:szCs w:val="20"/>
        </w:rPr>
        <w:t xml:space="preserve"> настоящих Правил, за инициатором введения ограничения сохраняется обязанность по направлению в уполномоченный орган субъекта Российской Федерации и федеральный орган исполнительной власти по делам гражданской обороны и чрезвычайным ситуациям информации о введении ограничения режима потребления.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22 в ред. </w:t>
      </w:r>
      <w:hyperlink r:id="rId1218"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23. Ограничение режима потребления в связи с наступлением обстоятельств, указанных в </w:t>
      </w:r>
      <w:hyperlink w:anchor="Par3711" w:history="1">
        <w:r>
          <w:rPr>
            <w:rFonts w:ascii="Arial" w:hAnsi="Arial" w:cs="Arial"/>
            <w:color w:val="0000FF"/>
            <w:sz w:val="20"/>
            <w:szCs w:val="20"/>
          </w:rPr>
          <w:t>абзацах четвертом</w:t>
        </w:r>
      </w:hyperlink>
      <w:r>
        <w:rPr>
          <w:rFonts w:ascii="Arial" w:hAnsi="Arial" w:cs="Arial"/>
          <w:sz w:val="20"/>
          <w:szCs w:val="20"/>
        </w:rPr>
        <w:t xml:space="preserve"> и </w:t>
      </w:r>
      <w:hyperlink w:anchor="Par3713" w:history="1">
        <w:r>
          <w:rPr>
            <w:rFonts w:ascii="Arial" w:hAnsi="Arial" w:cs="Arial"/>
            <w:color w:val="0000FF"/>
            <w:sz w:val="20"/>
            <w:szCs w:val="20"/>
          </w:rPr>
          <w:t>пятом подпункта "б"</w:t>
        </w:r>
      </w:hyperlink>
      <w:r>
        <w:rPr>
          <w:rFonts w:ascii="Arial" w:hAnsi="Arial" w:cs="Arial"/>
          <w:sz w:val="20"/>
          <w:szCs w:val="20"/>
        </w:rPr>
        <w:t xml:space="preserve"> и в </w:t>
      </w:r>
      <w:hyperlink w:anchor="Par3716" w:history="1">
        <w:r>
          <w:rPr>
            <w:rFonts w:ascii="Arial" w:hAnsi="Arial" w:cs="Arial"/>
            <w:color w:val="0000FF"/>
            <w:sz w:val="20"/>
            <w:szCs w:val="20"/>
          </w:rPr>
          <w:t>подпункте "в" пункта 2</w:t>
        </w:r>
      </w:hyperlink>
      <w:r>
        <w:rPr>
          <w:rFonts w:ascii="Arial" w:hAnsi="Arial" w:cs="Arial"/>
          <w:sz w:val="20"/>
          <w:szCs w:val="20"/>
        </w:rPr>
        <w:t xml:space="preserve"> настоящих Правил, вводится с учетом следующих особенностей.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Введение в соответствии с настоящими Правилами полного ограничения режима потребления 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 режима потребления до уровня технологической брони в отношении энергопринимающих устройств и (или) объектов электроэнергетики потребителя,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либо частичного ограничения режима потребления до уровня аварийной брони в отношении энергопринимающих устройств и (или) объектов электроэнергетики потребителя, ограничение режима </w:t>
      </w:r>
      <w:r>
        <w:rPr>
          <w:rFonts w:ascii="Arial" w:hAnsi="Arial" w:cs="Arial"/>
          <w:sz w:val="20"/>
          <w:szCs w:val="20"/>
        </w:rPr>
        <w:lastRenderedPageBreak/>
        <w:t>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указана величина технологической брони, осуществляется: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307" w:name="Par4026"/>
      <w:bookmarkEnd w:id="307"/>
      <w:r>
        <w:rPr>
          <w:rFonts w:ascii="Arial" w:hAnsi="Arial" w:cs="Arial"/>
          <w:sz w:val="20"/>
          <w:szCs w:val="20"/>
        </w:rPr>
        <w:t xml:space="preserve">в связи с наступлением обстоятельств, указанных в </w:t>
      </w:r>
      <w:hyperlink w:anchor="Par3711" w:history="1">
        <w:r>
          <w:rPr>
            <w:rFonts w:ascii="Arial" w:hAnsi="Arial" w:cs="Arial"/>
            <w:color w:val="0000FF"/>
            <w:sz w:val="20"/>
            <w:szCs w:val="20"/>
          </w:rPr>
          <w:t>абзацах четвертом</w:t>
        </w:r>
      </w:hyperlink>
      <w:r>
        <w:rPr>
          <w:rFonts w:ascii="Arial" w:hAnsi="Arial" w:cs="Arial"/>
          <w:sz w:val="20"/>
          <w:szCs w:val="20"/>
        </w:rPr>
        <w:t xml:space="preserve"> и </w:t>
      </w:r>
      <w:hyperlink w:anchor="Par3713" w:history="1">
        <w:r>
          <w:rPr>
            <w:rFonts w:ascii="Arial" w:hAnsi="Arial" w:cs="Arial"/>
            <w:color w:val="0000FF"/>
            <w:sz w:val="20"/>
            <w:szCs w:val="20"/>
          </w:rPr>
          <w:t>пятом подпункта "б" пункта 2</w:t>
        </w:r>
      </w:hyperlink>
      <w:r>
        <w:rPr>
          <w:rFonts w:ascii="Arial" w:hAnsi="Arial" w:cs="Arial"/>
          <w:sz w:val="20"/>
          <w:szCs w:val="20"/>
        </w:rPr>
        <w:t xml:space="preserve"> настоящих Правил и в </w:t>
      </w:r>
      <w:hyperlink w:anchor="Par3716" w:history="1">
        <w:r>
          <w:rPr>
            <w:rFonts w:ascii="Arial" w:hAnsi="Arial" w:cs="Arial"/>
            <w:color w:val="0000FF"/>
            <w:sz w:val="20"/>
            <w:szCs w:val="20"/>
          </w:rPr>
          <w:t>подпункте "в" пункта 2</w:t>
        </w:r>
      </w:hyperlink>
      <w:r>
        <w:rPr>
          <w:rFonts w:ascii="Arial" w:hAnsi="Arial" w:cs="Arial"/>
          <w:sz w:val="20"/>
          <w:szCs w:val="20"/>
        </w:rPr>
        <w:t xml:space="preserve"> настоящих Правил, в части, не связанной с прекращением обязательств по поставке электрической энергии (мощности) по договору энергоснабжения (купли-продажи (поставки) электрической энергии (мощности)), -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указанных обстоятельств,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anchor="Par3701" w:history="1">
        <w:r>
          <w:rPr>
            <w:rFonts w:ascii="Arial" w:hAnsi="Arial" w:cs="Arial"/>
            <w:color w:val="0000FF"/>
            <w:sz w:val="20"/>
            <w:szCs w:val="20"/>
          </w:rPr>
          <w:t>пунктом 1(2)</w:t>
        </w:r>
      </w:hyperlink>
      <w:r>
        <w:rPr>
          <w:rFonts w:ascii="Arial" w:hAnsi="Arial" w:cs="Arial"/>
          <w:sz w:val="20"/>
          <w:szCs w:val="20"/>
        </w:rPr>
        <w:t xml:space="preserve"> настоящих Правил;</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связи с наступлением обстоятельств, указанных в </w:t>
      </w:r>
      <w:hyperlink w:anchor="Par3716" w:history="1">
        <w:r>
          <w:rPr>
            <w:rFonts w:ascii="Arial" w:hAnsi="Arial" w:cs="Arial"/>
            <w:color w:val="0000FF"/>
            <w:sz w:val="20"/>
            <w:szCs w:val="20"/>
          </w:rPr>
          <w:t>подпункте "в" пункта 2</w:t>
        </w:r>
      </w:hyperlink>
      <w:r>
        <w:rPr>
          <w:rFonts w:ascii="Arial" w:hAnsi="Arial" w:cs="Arial"/>
          <w:sz w:val="20"/>
          <w:szCs w:val="20"/>
        </w:rPr>
        <w:t xml:space="preserve"> настоящих Правил, в части прекращения обязательств по поставке электрической энергии (мощности) по договору энергоснабжения (купли-продажи (поставки) электрической энергии (мощности)), - в день и время, указанные в уведомлении о необходимости введения ограничения режима потребления, которые не могут наступить ранее истечения 3 рабочих дней после дня и времени получения сетевой организацией, оказывающей потребителю услугу по передаче электрической энергии, уведомления о расторжении договора энергоснабжения или уведомления о намерении расторгнуть договор купли-продажи электрической энергии (мощности), предусмотренных Основными положениями, соответственно от гарантирующего поставщика или потребителя либо не ранее истечения 3 рабочих дней после дня и времени получения инициатором введения ограничения соответствующего уведомления от гарантирующего поставщика или потребителя,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anchor="Par3701" w:history="1">
        <w:r>
          <w:rPr>
            <w:rFonts w:ascii="Arial" w:hAnsi="Arial" w:cs="Arial"/>
            <w:color w:val="0000FF"/>
            <w:sz w:val="20"/>
            <w:szCs w:val="20"/>
          </w:rPr>
          <w:t>пунктом 1(2)</w:t>
        </w:r>
      </w:hyperlink>
      <w:r>
        <w:rPr>
          <w:rFonts w:ascii="Arial" w:hAnsi="Arial" w:cs="Arial"/>
          <w:sz w:val="20"/>
          <w:szCs w:val="20"/>
        </w:rPr>
        <w:t xml:space="preserve"> настоящих Правил.</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уведомлении, направленном потребителю, указывается информация, предусмотренная </w:t>
      </w:r>
      <w:hyperlink w:anchor="Par3816" w:history="1">
        <w:r>
          <w:rPr>
            <w:rFonts w:ascii="Arial" w:hAnsi="Arial" w:cs="Arial"/>
            <w:color w:val="0000FF"/>
            <w:sz w:val="20"/>
            <w:szCs w:val="20"/>
          </w:rPr>
          <w:t>пунктами 8(1)</w:t>
        </w:r>
      </w:hyperlink>
      <w:r>
        <w:rPr>
          <w:rFonts w:ascii="Arial" w:hAnsi="Arial" w:cs="Arial"/>
          <w:sz w:val="20"/>
          <w:szCs w:val="20"/>
        </w:rPr>
        <w:t xml:space="preserve"> и </w:t>
      </w:r>
      <w:hyperlink w:anchor="Par3827" w:history="1">
        <w:r>
          <w:rPr>
            <w:rFonts w:ascii="Arial" w:hAnsi="Arial" w:cs="Arial"/>
            <w:color w:val="0000FF"/>
            <w:sz w:val="20"/>
            <w:szCs w:val="20"/>
          </w:rPr>
          <w:t>8(2)</w:t>
        </w:r>
      </w:hyperlink>
      <w:r>
        <w:rPr>
          <w:rFonts w:ascii="Arial" w:hAnsi="Arial" w:cs="Arial"/>
          <w:sz w:val="20"/>
          <w:szCs w:val="20"/>
        </w:rP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а также за исключением информации о дате и времени введения ограничения режима потребления (если соответствующее ограничение режима потребления в соответствии с </w:t>
      </w:r>
      <w:hyperlink w:anchor="Par4026" w:history="1">
        <w:r>
          <w:rPr>
            <w:rFonts w:ascii="Arial" w:hAnsi="Arial" w:cs="Arial"/>
            <w:color w:val="0000FF"/>
            <w:sz w:val="20"/>
            <w:szCs w:val="20"/>
          </w:rPr>
          <w:t>абзацем третьим</w:t>
        </w:r>
      </w:hyperlink>
      <w:r>
        <w:rPr>
          <w:rFonts w:ascii="Arial" w:hAnsi="Arial" w:cs="Arial"/>
          <w:sz w:val="20"/>
          <w:szCs w:val="20"/>
        </w:rPr>
        <w:t xml:space="preserve"> настоящего пункта вводится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соответствующих обстоятельств).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Положения настоящих Правил в части сроков введения ограничения режима потребления не распространяются на случаи срабатывания устройств релейной защиты, противоаварийной и режимной автоматики.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23 в ред. </w:t>
      </w:r>
      <w:hyperlink r:id="rId1219"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308" w:name="Par4031"/>
      <w:bookmarkEnd w:id="308"/>
      <w:r>
        <w:rPr>
          <w:rFonts w:ascii="Arial" w:hAnsi="Arial" w:cs="Arial"/>
          <w:sz w:val="20"/>
          <w:szCs w:val="20"/>
        </w:rPr>
        <w:t xml:space="preserve">24. Ограничение режима потребления в связи с наступлением обстоятельств, указанных в </w:t>
      </w:r>
      <w:hyperlink w:anchor="Par3717" w:history="1">
        <w:r>
          <w:rPr>
            <w:rFonts w:ascii="Arial" w:hAnsi="Arial" w:cs="Arial"/>
            <w:color w:val="0000FF"/>
            <w:sz w:val="20"/>
            <w:szCs w:val="20"/>
          </w:rPr>
          <w:t>подпункте "г" пункта 2</w:t>
        </w:r>
      </w:hyperlink>
      <w:r>
        <w:rPr>
          <w:rFonts w:ascii="Arial" w:hAnsi="Arial" w:cs="Arial"/>
          <w:sz w:val="20"/>
          <w:szCs w:val="20"/>
        </w:rPr>
        <w:t xml:space="preserve"> настоящих Правил, вводится с учетом следующих особенностей.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Введение в соответствии с настоящими Правилами полного ограничения режима потребления в отношении энергопринимающих устройств и (или) объектов электроэнергетики лица, осуществляющего бездоговорное потребление электрической энергии,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 режима потребления до уровня технологической брони в отношении энергопринимающих устройств и (или) объектов электроэнергетики лица, осуществляющего бездоговорное потребление электрической энергии и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либо частичного ограничения режима потребления до уровня аварийной брони в отношении энергопринимающих устройств и (или) объектов электроэнергетики лица, осуществляющего бездоговорное потребление электрической энергии и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указана </w:t>
      </w:r>
      <w:r>
        <w:rPr>
          <w:rFonts w:ascii="Arial" w:hAnsi="Arial" w:cs="Arial"/>
          <w:sz w:val="20"/>
          <w:szCs w:val="20"/>
        </w:rPr>
        <w:lastRenderedPageBreak/>
        <w:t>величина технологической брони, осуществляется незамедлительно по выявлении факта бездоговорного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Соответствующее ограничение при необходимости проведения дополнительных мероприятий вводится не позднее 3 дней после дня выявления факта бездоговорного потребления, а если бездоговорное потребление выявлено в отношении лица, потребляющего электрическую энергию, которым или в интересах которого заключен с энергосбытовой (энергоснабжающей) организацией, у которой отсутствует право распоряжения электрической энергией, поставляемой такому лицу, и исполняется договор, обеспечивающий поставку ему электрической энергии (мощности), - по истечении 30 дней после дня получения таким лицом уведомления сетевой организации, содержащего указание на отсутствие у энергосбытовой (энергоснабжающей) организации права распоряжения электрической энергией в соответствующих точках поставки по договору.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уведомлении, направленном лицу, осуществляющему бездоговорное потребление электрической энергии, указывается информация, предусмотренная </w:t>
      </w:r>
      <w:hyperlink w:anchor="Par3816" w:history="1">
        <w:r>
          <w:rPr>
            <w:rFonts w:ascii="Arial" w:hAnsi="Arial" w:cs="Arial"/>
            <w:color w:val="0000FF"/>
            <w:sz w:val="20"/>
            <w:szCs w:val="20"/>
          </w:rPr>
          <w:t>пунктами 8(1)</w:t>
        </w:r>
      </w:hyperlink>
      <w:r>
        <w:rPr>
          <w:rFonts w:ascii="Arial" w:hAnsi="Arial" w:cs="Arial"/>
          <w:sz w:val="20"/>
          <w:szCs w:val="20"/>
        </w:rPr>
        <w:t xml:space="preserve"> и </w:t>
      </w:r>
      <w:hyperlink w:anchor="Par3827" w:history="1">
        <w:r>
          <w:rPr>
            <w:rFonts w:ascii="Arial" w:hAnsi="Arial" w:cs="Arial"/>
            <w:color w:val="0000FF"/>
            <w:sz w:val="20"/>
            <w:szCs w:val="20"/>
          </w:rPr>
          <w:t>8(2)</w:t>
        </w:r>
      </w:hyperlink>
      <w:r>
        <w:rPr>
          <w:rFonts w:ascii="Arial" w:hAnsi="Arial" w:cs="Arial"/>
          <w:sz w:val="20"/>
          <w:szCs w:val="20"/>
        </w:rP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информации о дате и времени введения соответствующего ограничения режима потребления (если оно введено в соответствии с настоящим пунктом незамедлительно по выявлении факта бездоговорного потребления), а также информации о точках поставки (если в отношении энергопринимающих устройств и (или) объектов электроэнергетики, ограничение режима потребления которыми вводится, не сформированы точки поставки).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связи с выявлением факта бездоговорного потребления электрической энергии ограничение режима потребления вводится исполнителем (субисполнителем) в точках присоединения к электрической сети энергопринимающих устройств и (или) объектов электроэнергетики потребителя, ограничение режима потребления в отношении которых подлежит введению в соответствии с настоящими Правилами, если в отношении указанных устройств и (или) объектов не сформированы точки поставки.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целях введения ограничения режима потребления в отношении лица, осуществляющего бездоговорное потребление электрической энергии, под потребителем в рамках настоящих Правил понимается такое лицо.</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24 в ред. </w:t>
      </w:r>
      <w:hyperlink r:id="rId1220"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25. Полное ограничение режима потребления в связи с выявлением обстоятельств, указанных в </w:t>
      </w:r>
      <w:hyperlink w:anchor="Par3718" w:history="1">
        <w:r>
          <w:rPr>
            <w:rFonts w:ascii="Arial" w:hAnsi="Arial" w:cs="Arial"/>
            <w:color w:val="0000FF"/>
            <w:sz w:val="20"/>
            <w:szCs w:val="20"/>
          </w:rPr>
          <w:t>подпункте "д" пункта 2</w:t>
        </w:r>
      </w:hyperlink>
      <w:r>
        <w:rPr>
          <w:rFonts w:ascii="Arial" w:hAnsi="Arial" w:cs="Arial"/>
          <w:sz w:val="20"/>
          <w:szCs w:val="20"/>
        </w:rPr>
        <w:t xml:space="preserve"> настоящих Правил, вводится в следующем порядке.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Гарантирующий поставщик, выявивший факт ненадлежащего технологического присоединения, направляет уведомление, содержащее сведения о выявлении указанного факта, исполнителю, который незамедлительно по получении указанного уведомления обязан ввести полное ограничение режима потребления. При этом если энергопринимающие устройства и (или) объекты электроэнергетики присоединены к объектам электросетевого хозяйства субисполнителя, исполнитель обязан переслать уведомление или его копию субисполнителю в течение одного рабочего дня после дня получения уведомления, а субисполнитель обязан незамедлительно ввести полное ограничение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если потребителем не заключен договор оказания услуг по передаче электрической энергии, гарантирующий поставщик направляет уведомление, содержащее сведения о выявлении указанного факта, субисполнителю, который незамедлительно со дня получения указанного уведомления обязан ввести полное ограничение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Одновременно с направлением уведомления исполнителю или субисполнителю гарантирующий поставщик информирует о выявлении факта ненадлежащего технологического присоединения также федеральный орган исполнительной власти, осуществляющий федеральный государственный энергетический надзор.</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Указанное ограничение вводится независимо от факта получения соответствующей информации потребителем.</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25 в ред. </w:t>
      </w:r>
      <w:hyperlink r:id="rId1221"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309" w:name="Par4044"/>
      <w:bookmarkEnd w:id="309"/>
      <w:r>
        <w:rPr>
          <w:rFonts w:ascii="Arial" w:hAnsi="Arial" w:cs="Arial"/>
          <w:sz w:val="20"/>
          <w:szCs w:val="20"/>
        </w:rPr>
        <w:t xml:space="preserve">26. Ограничение режима потребления в связи с наступлением обстоятельств, указанных в </w:t>
      </w:r>
      <w:hyperlink w:anchor="Par3719" w:history="1">
        <w:r>
          <w:rPr>
            <w:rFonts w:ascii="Arial" w:hAnsi="Arial" w:cs="Arial"/>
            <w:color w:val="0000FF"/>
            <w:sz w:val="20"/>
            <w:szCs w:val="20"/>
          </w:rPr>
          <w:t>подпункте "е" пункта 2</w:t>
        </w:r>
      </w:hyperlink>
      <w:r>
        <w:rPr>
          <w:rFonts w:ascii="Arial" w:hAnsi="Arial" w:cs="Arial"/>
          <w:sz w:val="20"/>
          <w:szCs w:val="20"/>
        </w:rPr>
        <w:t xml:space="preserve"> настоящих Правил, вводится в порядке и в сроки, которые установлены договором </w:t>
      </w:r>
      <w:r>
        <w:rPr>
          <w:rFonts w:ascii="Arial" w:hAnsi="Arial" w:cs="Arial"/>
          <w:sz w:val="20"/>
          <w:szCs w:val="20"/>
        </w:rPr>
        <w:lastRenderedPageBreak/>
        <w:t>энергоснабжения, договором купли-продажи (поставки) электрической энергии (мощности), договором оказания услуг по передаче электрической энергии либо отдельным соглашением с учетом требований настоящих Правил.</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Для целей введения ограничения режима потребления потребитель, у которого отсутствует техническая возможность самостоятельного ограничения режима потребления, направляет гарантирующему поставщику (энергосбытовой, энергоснабжающей организации, производителю электрической энергии (мощности) на розничном рынке), с которым таким потребителем заключен договор энергоснабжения, договор купли-продажи (поставки) электрической энергии (мощности), или сетевой организации, с которой таким потребителем заключен договор оказания услуг по передаче электрической энергии, заявление о введении в отношении его энергопринимающих устройств и (или) объектов электроэнергетики ограничения режима потребления способом, определенным соответствующим договором, либо способом, позволяющим подтвердить доставку заявления (если соответствующим договором способ не определен).</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Гарантирующий поставщик (энергосбытовая, энергоснабжающая организация, производитель электрической энергии (мощности) на розничном рынке), с которым потребителем заключен договор энергоснабжения (купли-продажи (поставки) электрической энергии (мощности)) и который получил от потребителя указанное заявление, обязан передать в течение одного рабочего дня заявление исполнителю. В случае если указанное заявление получено сетевой организацией, с которой таким потребителем заключен договор оказания услуг по передаче электрической энергии, последняя обязана уведомить об этом в течение одного рабочего дня после дня получения заявления лицо, с которым потребителем заключен договор энергоснабжения (купли-продажи (поставки) электрической энергии (мощности)).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26 в ред. </w:t>
      </w:r>
      <w:hyperlink r:id="rId1222"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310" w:name="Par4048"/>
      <w:bookmarkEnd w:id="310"/>
      <w:r>
        <w:rPr>
          <w:rFonts w:ascii="Arial" w:hAnsi="Arial" w:cs="Arial"/>
          <w:sz w:val="20"/>
          <w:szCs w:val="20"/>
        </w:rPr>
        <w:t xml:space="preserve">27. Полное ограничение режима потребления в связи с выявлением обстоятельств, указанных в </w:t>
      </w:r>
      <w:hyperlink w:anchor="Par3720" w:history="1">
        <w:r>
          <w:rPr>
            <w:rFonts w:ascii="Arial" w:hAnsi="Arial" w:cs="Arial"/>
            <w:color w:val="0000FF"/>
            <w:sz w:val="20"/>
            <w:szCs w:val="20"/>
          </w:rPr>
          <w:t>подпункте "ж" пункта 2</w:t>
        </w:r>
      </w:hyperlink>
      <w:r>
        <w:rPr>
          <w:rFonts w:ascii="Arial" w:hAnsi="Arial" w:cs="Arial"/>
          <w:sz w:val="20"/>
          <w:szCs w:val="20"/>
        </w:rPr>
        <w:t xml:space="preserve"> настоящих Правил, вводится с учетом следующих особенностей.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Дата полного ограничения режима потребления, указанная в уведомлении о введении ограничения режима потребления, должна соответствовать дню, следующему за днем окончания срока, на который осуществлялось технологическое присоединение с применением временной схемы электроснабжения, а если ограничение режима потребления вводится в связи с возникновением оснований для досрочного прекращения указанного технологического присоединения, - дню, следующему за днем отсоединения энергопринимающих устройств и (или) объектов электроэнергетики, технологическое присоединение которых осуществлено по временной схеме электроснабжения, указанным в обращении заявителя, или дню, следующему за днем расторжения договора об осуществлении технологического присоединения с применением постоянной схемы электроснабжения.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уведомлении, направленном потребителю, указывается информация, предусмотренная </w:t>
      </w:r>
      <w:hyperlink w:anchor="Par3816" w:history="1">
        <w:r>
          <w:rPr>
            <w:rFonts w:ascii="Arial" w:hAnsi="Arial" w:cs="Arial"/>
            <w:color w:val="0000FF"/>
            <w:sz w:val="20"/>
            <w:szCs w:val="20"/>
          </w:rPr>
          <w:t>пунктом 8(1)</w:t>
        </w:r>
      </w:hyperlink>
      <w:r>
        <w:rPr>
          <w:rFonts w:ascii="Arial" w:hAnsi="Arial" w:cs="Arial"/>
          <w:sz w:val="20"/>
          <w:szCs w:val="20"/>
        </w:rP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Указанное ограничение вводится в день полного ограничения режима потребления, указанный в уведомлении о введении ограничения, независимо от даты получения потребителем этого уведомления.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Положения настоящего пункта применяются, если иное не установлено соглашением между сетевой организацией и потребителем, заключаемым при предоставлении потребителю автономных источников питания для обеспечения присоединяемых энергопринимающих устройств мощностью на период электроснабжения по временной схеме электроснабжения.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27 в ред. </w:t>
      </w:r>
      <w:hyperlink r:id="rId1223"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28. В случае выявления нарушения потребителем полного ограничения режима потребления, введенного в отношении его энергопринимающих устройств и (или) объектов электроэнергетики исполнителем (субисполнителем) со своих объектов электросетевого хозяйства при сохранении предусмотренных </w:t>
      </w:r>
      <w:hyperlink w:anchor="Par3707" w:history="1">
        <w:r>
          <w:rPr>
            <w:rFonts w:ascii="Arial" w:hAnsi="Arial" w:cs="Arial"/>
            <w:color w:val="0000FF"/>
            <w:sz w:val="20"/>
            <w:szCs w:val="20"/>
          </w:rPr>
          <w:t>подпунктами "а"</w:t>
        </w:r>
      </w:hyperlink>
      <w:r>
        <w:rPr>
          <w:rFonts w:ascii="Arial" w:hAnsi="Arial" w:cs="Arial"/>
          <w:sz w:val="20"/>
          <w:szCs w:val="20"/>
        </w:rPr>
        <w:t xml:space="preserve"> - </w:t>
      </w:r>
      <w:hyperlink w:anchor="Par3718" w:history="1">
        <w:r>
          <w:rPr>
            <w:rFonts w:ascii="Arial" w:hAnsi="Arial" w:cs="Arial"/>
            <w:color w:val="0000FF"/>
            <w:sz w:val="20"/>
            <w:szCs w:val="20"/>
          </w:rPr>
          <w:t>"д"</w:t>
        </w:r>
      </w:hyperlink>
      <w:r>
        <w:rPr>
          <w:rFonts w:ascii="Arial" w:hAnsi="Arial" w:cs="Arial"/>
          <w:sz w:val="20"/>
          <w:szCs w:val="20"/>
        </w:rPr>
        <w:t xml:space="preserve"> и </w:t>
      </w:r>
      <w:hyperlink w:anchor="Par3720" w:history="1">
        <w:r>
          <w:rPr>
            <w:rFonts w:ascii="Arial" w:hAnsi="Arial" w:cs="Arial"/>
            <w:color w:val="0000FF"/>
            <w:sz w:val="20"/>
            <w:szCs w:val="20"/>
          </w:rPr>
          <w:t>"ж" пункта 2</w:t>
        </w:r>
      </w:hyperlink>
      <w:r>
        <w:rPr>
          <w:rFonts w:ascii="Arial" w:hAnsi="Arial" w:cs="Arial"/>
          <w:sz w:val="20"/>
          <w:szCs w:val="20"/>
        </w:rPr>
        <w:t xml:space="preserve"> настоящих Правил обстоятельств, послуживших основанием для введения указанного ограничения режима потребления, исполнитель (субисполнитель) вводит в отношении энергопринимающих устройств и (или) объектов электроэнергетики такого потребителя полное ограничение режима потребления незамедлительно. При этом процедура введения ограничения режима потребления, предусмотренная настоящими Правилами, повторно не проводится.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О факте выявления нарушения потребителем полного ограничения режима потребления и незамедлительного ограничения режима потребления энергопринимающими устройствами и (или) объектами электроэнергетики потребителя в соответствии с настоящим пунктом исполнитель (субисполнитель) уведомляет инициатора введения ограничения.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28 в ред. </w:t>
      </w:r>
      <w:hyperlink r:id="rId1224"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29. В случае если в целях введения ограничения режима потребления действия, предусмотренные настоящими Правилами, должны выполняться несколькими сетевыми организациями и (или) иными лицами, к объектам электросетевого хозяйства которых технологически присоединен (в случае отсутствия надлежащего технологического присоединения - непосредственно присоединен) потребитель, в качестве исполнителей и (или) субисполнителей, положения настоящих Правил применяются в отношении каждой из указанных сетевых организаций и (или) каждого из указанных лиц, не оказывающих услуги по передаче электрической энергии, с учетом следующих особенностей.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определении уровня частичного ограничения режима потребления, а также уровня, до которого исполнители (субисполнители) обязаны ввести ограничение режима потребления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лицам), инициатор введения ограничения самостоятельно устанавливает для каждого исполнителя (субисполнителя) уровень, до которого такой исполнитель (субисполнитель) обязан сократить объем подачи электрической энергии потребителю, при этом частичное ограничение режима потребления может подразумевать полное прекращение подачи электрической энергии потребителю одним или несколькими из исполнителей (субисполнителей).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получения исполнителем (субисполнителем) уведомления о необходимости введения ограничения режима потребления, направляемого инициатором введения ограничения, которое содержит указание на необходимость прекращения подачи электрической энергии в отношении всех точек присоединения к электрической сети исполнителя (субисполнителя) энергопринимающих устройств и (или) объектов электроэнергетики потребителя, на правоотношения потребителя, инициатора и исполнителя (субисполнителя), связанные с введением ограничения режима потребления в отношении такого устройства и (или) объекта, распространяются положения настоящих Правил, регулирующие введение полного ограничения режима потребления, в том числе положения </w:t>
      </w:r>
      <w:hyperlink w:anchor="Par4008" w:history="1">
        <w:r>
          <w:rPr>
            <w:rFonts w:ascii="Arial" w:hAnsi="Arial" w:cs="Arial"/>
            <w:color w:val="0000FF"/>
            <w:sz w:val="20"/>
            <w:szCs w:val="20"/>
          </w:rPr>
          <w:t>пункта 21</w:t>
        </w:r>
      </w:hyperlink>
      <w:r>
        <w:rPr>
          <w:rFonts w:ascii="Arial" w:hAnsi="Arial" w:cs="Arial"/>
          <w:sz w:val="20"/>
          <w:szCs w:val="20"/>
        </w:rPr>
        <w:t xml:space="preserve"> настоящих Правил.</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Уведомление, предусмотренное </w:t>
      </w:r>
      <w:hyperlink w:anchor="Par3816" w:history="1">
        <w:r>
          <w:rPr>
            <w:rFonts w:ascii="Arial" w:hAnsi="Arial" w:cs="Arial"/>
            <w:color w:val="0000FF"/>
            <w:sz w:val="20"/>
            <w:szCs w:val="20"/>
          </w:rPr>
          <w:t>пунктами 8(1)</w:t>
        </w:r>
      </w:hyperlink>
      <w:r>
        <w:rPr>
          <w:rFonts w:ascii="Arial" w:hAnsi="Arial" w:cs="Arial"/>
          <w:sz w:val="20"/>
          <w:szCs w:val="20"/>
        </w:rPr>
        <w:t xml:space="preserve"> и </w:t>
      </w:r>
      <w:hyperlink w:anchor="Par3827" w:history="1">
        <w:r>
          <w:rPr>
            <w:rFonts w:ascii="Arial" w:hAnsi="Arial" w:cs="Arial"/>
            <w:color w:val="0000FF"/>
            <w:sz w:val="20"/>
            <w:szCs w:val="20"/>
          </w:rPr>
          <w:t>8(2)</w:t>
        </w:r>
      </w:hyperlink>
      <w:r>
        <w:rPr>
          <w:rFonts w:ascii="Arial" w:hAnsi="Arial" w:cs="Arial"/>
          <w:sz w:val="20"/>
          <w:szCs w:val="20"/>
        </w:rPr>
        <w:t xml:space="preserve"> настоящих Правил, должно дополнительно содержать сведения, позволяющие идентифицировать исполнителей (субисполнителей), обязанных ввести ограничение режима потребления, с указанием уровня, до которого каждый из них обязан сократить или прекратить подачу электрической энергии потребителю, и точек поставки, в отношении которых соответствующим исполнителем (субисполнителем) должны быть осуществлены указанные действия, если такие точки в отношении энергопринимающих устройств и (или) объектов электроэнергетики, ограничение режима потребления которыми подлежит введению в соответствии с настоящими Правилами, сформированы.</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если в отношении энергопринимающих устройств и (или) объектов электроэнергетики потребителя подлежит введению полное ограничение режима потребления и введение такого ограничения не может привести к ограничению или прекращению подачи электрической энергии иным лицам, уровень ограничения режима потребления для каждого исполнителя (субисполнителя) не устанавливается и дополнительная информация в уведомление, предусмотренное </w:t>
      </w:r>
      <w:hyperlink w:anchor="Par3816" w:history="1">
        <w:r>
          <w:rPr>
            <w:rFonts w:ascii="Arial" w:hAnsi="Arial" w:cs="Arial"/>
            <w:color w:val="0000FF"/>
            <w:sz w:val="20"/>
            <w:szCs w:val="20"/>
          </w:rPr>
          <w:t>пунктами 8(1)</w:t>
        </w:r>
      </w:hyperlink>
      <w:r>
        <w:rPr>
          <w:rFonts w:ascii="Arial" w:hAnsi="Arial" w:cs="Arial"/>
          <w:sz w:val="20"/>
          <w:szCs w:val="20"/>
        </w:rPr>
        <w:t xml:space="preserve"> и </w:t>
      </w:r>
      <w:hyperlink w:anchor="Par3827" w:history="1">
        <w:r>
          <w:rPr>
            <w:rFonts w:ascii="Arial" w:hAnsi="Arial" w:cs="Arial"/>
            <w:color w:val="0000FF"/>
            <w:sz w:val="20"/>
            <w:szCs w:val="20"/>
          </w:rPr>
          <w:t>8(2)</w:t>
        </w:r>
      </w:hyperlink>
      <w:r>
        <w:rPr>
          <w:rFonts w:ascii="Arial" w:hAnsi="Arial" w:cs="Arial"/>
          <w:sz w:val="20"/>
          <w:szCs w:val="20"/>
        </w:rPr>
        <w:t xml:space="preserve"> настоящих Правил, не включается.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Уведомления, предусмотренные </w:t>
      </w:r>
      <w:hyperlink w:anchor="Par3835" w:history="1">
        <w:r>
          <w:rPr>
            <w:rFonts w:ascii="Arial" w:hAnsi="Arial" w:cs="Arial"/>
            <w:color w:val="0000FF"/>
            <w:sz w:val="20"/>
            <w:szCs w:val="20"/>
          </w:rPr>
          <w:t>пунктом 9</w:t>
        </w:r>
      </w:hyperlink>
      <w:r>
        <w:rPr>
          <w:rFonts w:ascii="Arial" w:hAnsi="Arial" w:cs="Arial"/>
          <w:sz w:val="20"/>
          <w:szCs w:val="20"/>
        </w:rPr>
        <w:t xml:space="preserve"> настоящих Правил, направляются каждому из исполнителей (субисполнителей), обязанных сократить объем или прекратить подачу электрической энергии потребителю.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Обязательства по введению ограничения режима потребления и возобновлению подачи электрической энергии или прекращению процедуры введения ограничения режима потребления электрической энергии распространяются на каждого исполнителя (субисполнителя) в части точек поставки (точек присоединения энергопринимающих устройств и (или) объектов электроэнергетики потребителя к электрической сети), расположенных на границе балансовой принадлежности объектов электросетевого хозяйства соответствующего исполнителя (субисполнителя), и их исполнение не зависит от возможности осуществления таких действий прочими исполнителями (субисполнителями). Каждый исполнитель </w:t>
      </w:r>
      <w:r>
        <w:rPr>
          <w:rFonts w:ascii="Arial" w:hAnsi="Arial" w:cs="Arial"/>
          <w:sz w:val="20"/>
          <w:szCs w:val="20"/>
        </w:rPr>
        <w:lastRenderedPageBreak/>
        <w:t>(субисполнитель) обязан ввести ограничение режима потребления до уровня, указанного в отношении его в уведомлении о введении ограничения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целях предотвращения ограничения или прекращения подачи электрической энергии иным лицам потребитель обязан осуществлять самостоятельное ограничение режима потребления с учетом содержащихся в уведомлении о введении ограничения режима потребления сведений об установленном для каждого исполнителя (субисполнителя) уровне, до которого такой исполнитель (субисполнитель) обязан сократить объем подачи электрической энергии этому потребителю.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Обязательства потребителя, предусмотренные настоящими Правилами, распространяются на отношения с каждым из исполнителей (субисполнителей), указанных в уведомлении о ведении ограничения, в том числе в части обязанностей обеспечивать доступ к принадлежащим этому потребителю энергопринимающим устройствам и (или) объектам электроэнергетики и приборам учета, предоставлять утвержденный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Потребитель, ограничение режима потребления которого может привести к экономическим, экологическим или социальным последствиям, обязан направить уведомление о готовности к введению полного ограничения режима потребления инициатору введения ограничения и каждому исполнителю (субисполнителю), указанному в уведомлении о введении ограничения режима потребления. Исполнитель (субисполнитель), получивший указанное уведомление, вводит полное ограничение режима потребления в отношении энергопринимающих устройств и (или) объектов электроэнергетики потребителя в срок, предусмотренный </w:t>
      </w:r>
      <w:hyperlink w:anchor="Par3766" w:history="1">
        <w:r>
          <w:rPr>
            <w:rFonts w:ascii="Arial" w:hAnsi="Arial" w:cs="Arial"/>
            <w:color w:val="0000FF"/>
            <w:sz w:val="20"/>
            <w:szCs w:val="20"/>
          </w:rPr>
          <w:t>пунктом 6</w:t>
        </w:r>
      </w:hyperlink>
      <w:r>
        <w:rPr>
          <w:rFonts w:ascii="Arial" w:hAnsi="Arial" w:cs="Arial"/>
          <w:sz w:val="20"/>
          <w:szCs w:val="20"/>
        </w:rPr>
        <w:t xml:space="preserve"> настоящих Правил.</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Контроль соблюдения потребителем введенного в отношении его энергопринимающих устройств и (или) объектов электроэнергетики полного ограничения режима потребления осуществляется каждым исполнителем (субисполнителем) в части объема электрической энергии, переданной из его электрической сети потребителю.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Акты, подлежащие в соответствии с настоящими Правилами составлению инициатором введения ограничения, составляются в количестве экземпляров, предусмотренном настоящими Правилами и увеличенном на число исполнителей и субисполнителей, дополнительно участвующих в процедуре введения ограничения режима потребления по сравнению с общим порядком.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Потребитель, ограничение режима потребления которого может привести к экономическим, экологическим или социальным последствиям, обязан выполнить в срок, не превышающий 2 месяцев, мероприятия по установке за свой счет автономных источников питания, обеспечивающих безопасное функционирование его энергопринимающих устройств и (или) объектов электроэнергетики без необходимости потребления электрической энергии из внешней сети в случае непредставления в установленный </w:t>
      </w:r>
      <w:hyperlink w:anchor="Par3946" w:history="1">
        <w:r>
          <w:rPr>
            <w:rFonts w:ascii="Arial" w:hAnsi="Arial" w:cs="Arial"/>
            <w:color w:val="0000FF"/>
            <w:sz w:val="20"/>
            <w:szCs w:val="20"/>
          </w:rPr>
          <w:t>пунктом 16(1)</w:t>
        </w:r>
      </w:hyperlink>
      <w:r>
        <w:rPr>
          <w:rFonts w:ascii="Arial" w:hAnsi="Arial" w:cs="Arial"/>
          <w:sz w:val="20"/>
          <w:szCs w:val="20"/>
        </w:rPr>
        <w:t xml:space="preserve"> настоящих Правил срок хотя бы одному из исполнителей (субисполнителей), указанных в уведомлении о введении ограничения, утвержденного плана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Уведомление о возобновлении подачи электрической энергии или о прекращении процедуры введения ограничения режима потребления, предусмотренное </w:t>
      </w:r>
      <w:hyperlink w:anchor="Par3960" w:history="1">
        <w:r>
          <w:rPr>
            <w:rFonts w:ascii="Arial" w:hAnsi="Arial" w:cs="Arial"/>
            <w:color w:val="0000FF"/>
            <w:sz w:val="20"/>
            <w:szCs w:val="20"/>
          </w:rPr>
          <w:t>пунктом 19</w:t>
        </w:r>
      </w:hyperlink>
      <w:r>
        <w:rPr>
          <w:rFonts w:ascii="Arial" w:hAnsi="Arial" w:cs="Arial"/>
          <w:sz w:val="20"/>
          <w:szCs w:val="20"/>
        </w:rPr>
        <w:t xml:space="preserve"> настоящих Правил, направляется инициатором введения ограничения каждому исполнителю (субисполнителю).</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29 в ред. </w:t>
      </w:r>
      <w:hyperlink r:id="rId1225"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III. Порядок введения ограничения режима</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потребления в целях проведения ремонтных работ на объектах</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электроэнергетики</w:t>
      </w: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(в ред. </w:t>
      </w:r>
      <w:hyperlink r:id="rId1226"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30. В случае если проведение ремонтных работ на объектах электросетевого хозяйства сетевой организации (смежной сетевой организации, иных владельцев) невозможно без ограничения режима потребления в отношении потребителей, присоединенных к сетям сетевой организации, сетевая организация в порядке, установленном договором оказания услуг по передаче электрической энергии, уведомляет потребителя напрямую или (если это предусмотрено указанным договором) через действующего в его интересах гарантирующего поставщика (энергосбытовую, энергоснабжающую </w:t>
      </w:r>
      <w:r>
        <w:rPr>
          <w:rFonts w:ascii="Arial" w:hAnsi="Arial" w:cs="Arial"/>
          <w:sz w:val="20"/>
          <w:szCs w:val="20"/>
        </w:rPr>
        <w:lastRenderedPageBreak/>
        <w:t>организацию) о проведении таких работ, о сроках и объемах ограничения режима потребления в связи с их проведением. При этом если договором оказания услуг по передаче электрической энергии, заключенным в отношении такого потребителя с действующим в его интересах гарантирующим поставщиком (энергосбытовой, энергоснабжающей организацией), предусмотрено, что такое уведомление потребителю передает гарантирующий поставщик (энергосбытовая, энергоснабжающая организация), то он обязан при получении от сетевой организации указанного уведомления в течение 1 суток передать его потребителю способом, позволяющим определить дату и время передачи.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227"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13.08.2018 N 937)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31. Если проведение сетевой организацией ремонтных работ невозможно осуществить без введения ограничения режима потребления в отношении потребителей, присоединенных к сетям смежной сетевой организации, последняя вводит ограничение режима потребления после получения уведомления о проведении ремонтных работ от сетевой организации и о необходимости введения ограничения режима потребления, за исключением следующих случаев: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 отсутствие технической возможности введения ограничения посредством технических мероприятий на объектах электросетевого хозяйства смежной сетевой организации;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б) невозможность введения сетевой организацией ограничения вследствие получения от субъекта оперативно-диспетчерского управления в электроэнергетике решения об отказе в согласовании диспетчерской заявки или невозможность выполнения по независящим от нее обстоятельствам условий, необходимых для согласования диспетчерской заявки;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действие обстоятельств непреодолимой силы.</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32. Смежная сетевая организация не позднее 2 дней со дня получения от сетевой организации уведомления о проведении ремонтных работ и о необходимости введения ограничения режима потребления в отношении потребителей, присоединенных к сетям смежной сетевой организации, обязана уведомить потребителя о введении ограничения режима потребления напрямую или (если это предусмотрено договором оказания услуг по передаче электрической энергии) через действующего в его интересах гарантирующего поставщика (энергосбытовую, энергоснабжающую организацию).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32(1). В случае если проведение ремонтных работ на объекте по производству электрической энергии невозможно без ограничения режима потребления, собственник или иной законный владелец такого объекта в порядке, установленном договорами купли-продажи (поставки) электрической энергии (мощности) либо положениями о технологическом взаимодействии, уведомляет потребителей напрямую либо, если это предусмотрено указанными договорами или положениями, через соответствующую сетевую организацию (иного владельца объектов электросетевого хозяйства), действующего в интересах потребителей гарантирующего поставщика (энергосбытовую, энергоснабжающую организацию) о проведении таких работ, о сроках и объемах ограничения режима потребления в связи с их проведением.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этом если договором купли-продажи (поставки) электрической энергии (мощности) либо положением о технологическом взаимодействии предусмотрено, что такое уведомление потребителю передает сетевая организация (иной владелец объектов электросетевого хозяйства) или гарантирующий поставщик (энергосбытовая, энергоснабжающая организация), указанные лица обязаны при получении от собственника или иного законного владельца объекта по производству электрической энергии указанного уведомления в течение 1 суток передать его потребителю способом, позволяющим определить дату и время передачи.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32(1) введен </w:t>
      </w:r>
      <w:hyperlink r:id="rId1228"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13.08.2018 N 937)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33. При невозможности вывода в ремонт без ограничения режима потребления объекта электроэнергетики, находящегося в диспетчерском управлении или диспетчерском ведении субъекта оперативно-диспетчерского управления в электроэнергетике, владелец такого объекта подает в диспетчерский центр субъекта оперативно-диспетчерского управления в электроэнергетике предложение о его включении в сводный месячный график ремонта объектов диспетчеризации и диспетчерскую заявку, но не ранее уведомления соответствующих потребителей о планируемых сроках проведения ремонтных работ и сроках и объемах ограничения режима потребления.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229"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13.08.2018 N 937)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Субъект оперативно-диспетчерского управления в электроэнергетике рассматривает представленное предложение о включении объекта электроэнергетики в сводный месячный график ремонта объектов </w:t>
      </w:r>
      <w:r>
        <w:rPr>
          <w:rFonts w:ascii="Arial" w:hAnsi="Arial" w:cs="Arial"/>
          <w:sz w:val="20"/>
          <w:szCs w:val="20"/>
        </w:rPr>
        <w:lastRenderedPageBreak/>
        <w:t>диспетчеризации и осуществляет согласование диспетчерской заявки в соответствии с правилами вывода объектов электроэнергетики в ремонт и из эксплуатации.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230"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13.08.2018 N 937)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Вместе с предложением о включении объекта в сводный месячный график ремонта объектов диспетчеризации и диспетчерской заявкой владелец объекта электроэнергетики представляет подписанный им документ, подтверждающий уведомление соответствующих потребителей о планируемых сроках проведения ремонтных работ и сроках и объемах ограничения режима потребления. Сроки проведения ремонтных работ, сроки и объемы ограничения режима потребления, указанные в уведомлении соответствующих потребителей, должны соответствовать срокам проведения ремонтных работ, указанным в предложении о включении объекта электроэнергетики в сводный месячный график ремонта объектов диспетчеризации или в диспетчерской заявке, и объемам ограничения режима потребления, необходимым для проведения ремонтных работ. При непредставлении такого документа включение объекта электроэнергетики в сводный месячный график ремонта не осуществляется, а диспетчерская заявка не подлежит согласованию.</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231"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13.08.2018 N 937)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если вывод в ремонт объекта электроэнергетики может вызвать отклонение параметров электроэнергетического режима, регулируемых диспетчерским центром субъекта оперативно-диспетчерского управления в электроэнергетике, от допустимых для таких параметров величин, объем и территория ввода ограничения режима потребления, необходимого для обеспечения вывода указанного объекта в ремонт, определяются диспетчерским центром при рассмотрении предложения о включении объекта электроэнергетики в сводный месячный график ремонта объектов диспетчеризации и согласовании диспетчерской заявки.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232"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13.08.2018 N 937)</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bookmarkStart w:id="311" w:name="Par4097"/>
      <w:bookmarkEnd w:id="311"/>
      <w:r>
        <w:rPr>
          <w:rFonts w:ascii="Arial" w:eastAsiaTheme="minorHAnsi" w:hAnsi="Arial" w:cs="Arial"/>
          <w:color w:val="auto"/>
          <w:sz w:val="20"/>
          <w:szCs w:val="20"/>
        </w:rPr>
        <w:t>IV. Порядок введения ограничения режима потребления в целях</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предотвращения или ликвидации аварийных ситуаций</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34. В случае возникновения (угрозы возникновения) аварийных электроэнергетических режимов по причине возникновения или угрозы возникновения выхода параметров электроэнергетического режима за пределы допустимых значений допускается ограничение режима потребления без согласования с потребителем при необходимости принятия неотложных мер (далее - аварийное ограничение). Аварийное ограничение вводится при условии невозможности предотвращения указанных обстоятельств путем использования технологических резервов мощности.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233"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13.08.2018 N 937)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Аварийные ограничения осуществляются в соответствии с графиками аварийного ограничения режима потребления электрической энергии (мощности) (далее - графики аварийного ограничения), а также посредством действия аппаратуры противоаварийной автоматики.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35. К графикам аварийного ограничения относятся: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 графики ограничения режима потребления электрической энергии и графики ограничения режима потребления электрической мощности (далее - графики ограничения режима потребления), в соответствии с которыми потребители заранее уведомляются о необходимости ограничить потребление электрической энергии (мощности) и самостоятельно выполняют технические (технологические) мероприятия, обеспечивающие снижение потребления в объемах и в периоды суток, которые указаны в уведомлении. Реализация таких графиков может производиться без отключения энергопринимающих устройств и (или) линий электропередачи;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б) графики временного отключения потребления, в соответствии с которыми без предварительного уведомления потребителей сетевая организация или системный оператор производит отключение линий электропередачи и (или) электросетевого оборудования. При этом также может предусматриваться отключение электроустановок непосредственно персоналом потребителей. Графики временного отключения потребления вводятся в действие в случае невозможности введения в действие графиков ограничения режима потребления в сроки, необходимые для предупреждения или предотвращения аварийных электроэнергетических режимов, в случае невыполнения потребителями диспетчерских команд (распоряжений) субъекта оперативно-диспетчерского управления в электроэнергетике о введении в действие графиков ограничения режима потребления, а также в случае сохранения причин, послуживших основанием для введения в действие графиков ограничения режима потребления после введения </w:t>
      </w:r>
      <w:r>
        <w:rPr>
          <w:rFonts w:ascii="Arial" w:hAnsi="Arial" w:cs="Arial"/>
          <w:sz w:val="20"/>
          <w:szCs w:val="20"/>
        </w:rPr>
        <w:lastRenderedPageBreak/>
        <w:t>ограничения режима потребления. Сетевая организация оповещает потребителей о введении в действие графиков временного отключения потребления незамедлительно после их введения.</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234"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13.08.2018 N 937)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36. Ответственность потребителей за реализацию графиков аварийного ограничения определяется условиями договора оказания услуг по передаче электрической энергии либо договора энергоснабжения (купли-продажи (поставки)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36(1). Графики аварийного ограничения разрабатываются и применяются в порядке, установленном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Указанные правила содержат: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порядок разработки графиков аварийного ограничения, основания и порядок применения графиков аварийного ограничения, включая порядок взаимодействия между системным оператором (субъектом оперативно-диспетчерского управления в технологически изолированной территориальной электроэнергетической системе), сетевой организацией, смежными сетевыми организациями, иными собственниками и законными владельцами объектов электросетевого хозяйства, собственниками и иными законными владельцами объектов по производству электрической энергии, потребителями электрической энергии в процессе разработки, согласования, утверждения, изменения, доведения до потребителей и применения графиков аварийного ограничения;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требования к формам графиков аварийного ограничения и иных документов, используемых в процессе разработки графиков аварийного ограничения;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порядок использования противоаварийной автоматики;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порядок определения величины технологической и (или) аварийной брони, требования к энергопринимающим устройствам, подключенным к электроприемникам технологической и (или) аварийной брони, а также форму акта согласования технологической и (или) аварийной брони.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36(1) введен </w:t>
      </w:r>
      <w:hyperlink r:id="rId1235"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13.08.2018 N 937)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37. Графики аварийного ограничения разрабатываются сетевой организацией на основании требований к объемам, времени и местам ввода аварийного ограничения, определенных системным оператором (субъектом оперативно-диспетчерского управления в технологически изолированной территориальной электроэнергетической системе), в порядке, устанавливаемом </w:t>
      </w:r>
      <w:hyperlink r:id="rId1236" w:history="1">
        <w:r>
          <w:rPr>
            <w:rFonts w:ascii="Arial" w:hAnsi="Arial" w:cs="Arial"/>
            <w:color w:val="0000FF"/>
            <w:sz w:val="20"/>
            <w:szCs w:val="20"/>
          </w:rPr>
          <w:t>правилами</w:t>
        </w:r>
      </w:hyperlink>
      <w:r>
        <w:rPr>
          <w:rFonts w:ascii="Arial" w:hAnsi="Arial" w:cs="Arial"/>
          <w:sz w:val="20"/>
          <w:szCs w:val="20"/>
        </w:rPr>
        <w:t xml:space="preserve">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утверждаемыми федеральным органом исполнительной власти, осуществляющим функции по выработке государственной политики в сфере топливно-энергетического комплекса.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Графики аварийного ограничения разрабатываются и утверждаются в соответствии с формами, установленными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1237"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13.08.2018 N 937)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если это предусмотрено требованиями субъекта оперативно-диспетчерского управления в электроэнергетике, сетевая организация разрабатывает графики аварийного ограничения с разбивкой по отдельным энергоузлам (энергорайонам) в пределах территории соответствующего субъекта Российской Федерации.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графики ограничения режима потребления могут быть включены энергопринимающие устройства потребителей любой категории.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 графики временного отключения потребления могут быть включены энергопринимающие устройства потребителей любой категории, за исключением электроприемников аварийной брони электроснабжения потребителей, имеющих акты согласования аварийной брони.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238"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Абзац утратил силу. - </w:t>
      </w:r>
      <w:hyperlink r:id="rId1239" w:history="1">
        <w:r>
          <w:rPr>
            <w:rFonts w:ascii="Arial" w:hAnsi="Arial" w:cs="Arial"/>
            <w:color w:val="0000FF"/>
            <w:sz w:val="20"/>
            <w:szCs w:val="20"/>
          </w:rPr>
          <w:t>Постановление</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Энергопринимающие устройства аварийной брони должны быть выделены потребителем или сетевой организацией за счет потребителя на отдельные питающие линии, по которым подача электрической энергии (мощности) не подлежит временному отключению.</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Постановлений Правительства РФ от 24.05.2017 </w:t>
      </w:r>
      <w:hyperlink r:id="rId1240" w:history="1">
        <w:r>
          <w:rPr>
            <w:rFonts w:ascii="Arial" w:hAnsi="Arial" w:cs="Arial"/>
            <w:color w:val="0000FF"/>
            <w:sz w:val="20"/>
            <w:szCs w:val="20"/>
          </w:rPr>
          <w:t>N 624</w:t>
        </w:r>
      </w:hyperlink>
      <w:r>
        <w:rPr>
          <w:rFonts w:ascii="Arial" w:hAnsi="Arial" w:cs="Arial"/>
          <w:sz w:val="20"/>
          <w:szCs w:val="20"/>
        </w:rPr>
        <w:t xml:space="preserve">, от 17.09.2018 </w:t>
      </w:r>
      <w:hyperlink r:id="rId1241" w:history="1">
        <w:r>
          <w:rPr>
            <w:rFonts w:ascii="Arial" w:hAnsi="Arial" w:cs="Arial"/>
            <w:color w:val="0000FF"/>
            <w:sz w:val="20"/>
            <w:szCs w:val="20"/>
          </w:rPr>
          <w:t>N 1096</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отсутствии технической возможности выделения энергопринимающих устройств аварийной брони на отдельные питающие линии или экономической нецелесообразности выделения энергопринимающих устройств аварийной брони на отдельные питающие линии, при применении полного и (или) частичного ограничения режима потребления электрической энергии (мощности) минимально необходимый уровень потребления электрической энергии в соответствии с уровнем аварийной брони обеспечивается путем использования потребителем автономных резервных источников питания. Автономные резервные источники питания, обеспечивающие необходимую величину аварийной брони, устанавливаются потребителем и поддерживаются им в состоянии готовности к использованию при применении полного и (или) частичного ограничения режима потребления электрической энергии (мощности).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1242"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17.09.2018 N 1096)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312" w:name="Par4127"/>
      <w:bookmarkEnd w:id="312"/>
      <w:r>
        <w:rPr>
          <w:rFonts w:ascii="Arial" w:hAnsi="Arial" w:cs="Arial"/>
          <w:sz w:val="20"/>
          <w:szCs w:val="20"/>
        </w:rPr>
        <w:t>38. Субъектом оперативно-диспетчерского управления в электроэнергетике может быть предусмотрено аварийное ограничение суммарно по всем потребителям, подключенным к объектам электросетевого хозяйства всех сетевых организаций, осуществляющих деятельность на территории соответствующего субъекта Российской Федерации: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соответствии с графиками ограничения режима потребления электрической энергии - на общую величину, составляющую не более 25 процентов суточного потребления электрической энергии энергосистемы на территории субъекта Российской Федерации, прогнозируемого диспетчерским центром субъекта оперативно-диспетчерского управления в электроэнергетике;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соответствии с графиками ограничения режима потребления мощности - на общую величину, составляющую не более 20 процентов прогнозируемой диспетчерским центром субъекта оперативно-диспетчерского управления в электроэнергетике мощности потребления энергосистемы на территории субъекта Российской Федерации в часы максимальных нагрузок энергосистемы;</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соответствии с графиками временного отключения потребления - на общую величину, составляющую не более 20 процентов прогнозируемой диспетчерским центром субъекта оперативно-диспетчерского управления в электроэнергетике мощности потребления энергосистемы на территории субъекта Российской Федерации в часы максимальных нагрузок энергосистемы.</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Суточное потребление электрической энергии энергосистемы на территории субъекта Российской Федерации определяется как разница между суммарным объемом электрической энергии, выработанной на электростанциях, расположенных на территории данного субъекта Российской Федерации, и сальдо перетоков электрической энергии энергосистемы. Мощность потребления энергосистемы на территории субъекта Российской Федерации определяется как разница между суммарной величиной генерации мощности на электростанциях, расположенных на территории данного субъекта Российской Федерации, в часы максимальных нагрузок энергосистемы и сальдо перетоков мощности энергосистемы.</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243"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13.08.2018 N 937)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Распределение указанных в настоящем пункте величин аварийного ограничения между сетевыми организациями производится соответствующим субъектом оперативно-диспетчерского управления в электроэнергетике на основании оценки возможности возникновения дефицита электрической энергии (мощности) на определенных территориях и (или) угрозы возникновения аварийных электроэнергетических режимов, в том числе в ремонтных схемах.</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244"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30.12.2012 N 1482)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Требования к объемам аварийного ограничения мощности устанавливаются субъектом оперативно-диспетчерского управления в электроэнергетике раздельно для графиков ограничения режима потребления </w:t>
      </w:r>
      <w:r>
        <w:rPr>
          <w:rFonts w:ascii="Arial" w:hAnsi="Arial" w:cs="Arial"/>
          <w:sz w:val="20"/>
          <w:szCs w:val="20"/>
        </w:rPr>
        <w:lastRenderedPageBreak/>
        <w:t>и для графиков временного отключения потребления, при этом в пределах согласованных субъектом оперативно-диспетчерского управления в электроэнергетике объемов допускается одновременное включение энергопринимающих устройств (линий электропередачи) в указанные графики.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 суммарная величина аварийных ограничений на территории соответствующего субъекта Российской Федерации может быть увеличена по сравнению с величинами, предусмотренными настоящим пунктом, по решению диспетчерского центра субъекта оперативно-диспетчерского управления в электроэнергетике, согласованному со штабом по обеспечению безопасности электроснабжения, созданным в соответствующем субъекте Российской Федерации.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технологически изолированных территориальных электроэнергетических системах величина аварийного ограничения может быть увеличена в порядке, установленном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по решению соответствующих субъектов оперативно-диспетчерского управления, согласованному с уполномоченным органом соответствующего субъекта Российской Федерации.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313" w:name="Par4138"/>
      <w:bookmarkEnd w:id="313"/>
      <w:r>
        <w:rPr>
          <w:rFonts w:ascii="Arial" w:hAnsi="Arial" w:cs="Arial"/>
          <w:sz w:val="20"/>
          <w:szCs w:val="20"/>
        </w:rPr>
        <w:t>39. Графики аварийного ограничения разрабатываются на период с 1 октября текущего года по 30 сентября следующего года и утверждаются сетевой организацией не позднее чем за 10 дней до начала очередного периода после согласования с соответствующим субъектом оперативно-диспетчерского управления в электроэнергетике и соответствующими органами исполнительной власти субъектов Российской Федерации.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Утвержденные графики аварийного ограничения доводятся до сведения гарантирующих поставщиков (энергосбытовых, энергоснабжающих организаций) и их потребителей в порядке, предусмотренном договором энергоснабжения (купли-продажи (поставки) электрической энергии (мощности)) или договором оказания услуг по передаче электрической энергии. Утвержденные графики аварийного ограничения также публикуются сетевой организацией на своем сайте в сети "Интернет" в течение 10 рабочих дней после их утверждения.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Сетевая организация осуществляет контроль технологической возможности реализации графиков аварийного ограничения.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отсутствии утвержденных графиков аварийного ограничения сетевая организация вводит ограничение режима потребления по диспетчерской команде и (или) распоряжению системного оператора (субъекта оперативно-диспетчерского управления в технологически изолированной территориальной электроэнергетической системе) путем отключения линий электропередачи, питающих потребителей, в объемах, определенных субъектом оперативно-диспетчерского управления в электроэнергетике в соответствии с </w:t>
      </w:r>
      <w:hyperlink w:anchor="Par4127" w:history="1">
        <w:r>
          <w:rPr>
            <w:rFonts w:ascii="Arial" w:hAnsi="Arial" w:cs="Arial"/>
            <w:color w:val="0000FF"/>
            <w:sz w:val="20"/>
            <w:szCs w:val="20"/>
          </w:rPr>
          <w:t>пунктом 38</w:t>
        </w:r>
      </w:hyperlink>
      <w:r>
        <w:rPr>
          <w:rFonts w:ascii="Arial" w:hAnsi="Arial" w:cs="Arial"/>
          <w:sz w:val="20"/>
          <w:szCs w:val="20"/>
        </w:rPr>
        <w:t xml:space="preserve"> настоящих Правил.</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Сетевые организации предоставляют субъекту оперативно-диспетчерского управления в электроэнергетике по его требованию не позднее 7 календарных дней со дня предъявления требования, но не чаще 1 раза в месяц, информацию о фактических значениях потребления мощности потребителями, включенными в графики аварийного ограничения, в часы максимальных и минимальных нагрузок энергосистемы.</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245"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30.12.2012 N 1482)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314" w:name="Par4144"/>
      <w:bookmarkEnd w:id="314"/>
      <w:r>
        <w:rPr>
          <w:rFonts w:ascii="Arial" w:hAnsi="Arial" w:cs="Arial"/>
          <w:sz w:val="20"/>
          <w:szCs w:val="20"/>
        </w:rPr>
        <w:t xml:space="preserve">39(1). В случае существенного изменения режима работы энергопринимающих установок потребителей, включенных в утвержденные графики аварийного ограничения, снижения или увеличения потребления электрической энергии и (или) мощности энергосистемы, в том числе в связи с завершением технологического присоединения к электрическим сетям и вводом в работу новых энергопринимающих устройств потребителей, возникновения (угрозы возникновения) дефицита электрической энергии и мощности или дефицита пропускной способности в контролируемых сечениях и на отдельных участках электрической сети, обусловленного в том числе длительным аварийным (неотложным) ремонтом объектов по производству электрической энергии и (или) объектов электросетевого хозяйства, решение о необходимости внесения изменений в утвержденные графики аварийного ограничения принимается субъектом оперативно-диспетчерского управления в электроэнергетике на основании оценки расчетов электроэнергетического режима и анализа угрозы возникновения дефицита электрической энергии и </w:t>
      </w:r>
      <w:r>
        <w:rPr>
          <w:rFonts w:ascii="Arial" w:hAnsi="Arial" w:cs="Arial"/>
          <w:sz w:val="20"/>
          <w:szCs w:val="20"/>
        </w:rPr>
        <w:lastRenderedPageBreak/>
        <w:t>мощности, дефицита пропускной способности в контролируемых сечениях и на отдельных участках электрической сети.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315" w:name="Par4145"/>
      <w:bookmarkEnd w:id="315"/>
      <w:r>
        <w:rPr>
          <w:rFonts w:ascii="Arial" w:hAnsi="Arial" w:cs="Arial"/>
          <w:sz w:val="20"/>
          <w:szCs w:val="20"/>
        </w:rPr>
        <w:t>В случае существенного изменения режима работы энергопринимающих установок потребителей, включенных в утвержденные графики аварийного ограничения, завершения технологического присоединения к электрическим сетям и ввода в работу новых энергопринимающих устройств потребителей решение о необходимости внесения изменений в утвержденные графики аварийного ограничения принимается сетевой организацией с соблюдением установленных субъектом оперативно-диспетчерского управления требований к объемам, времени и местам ввода аварийных ограничений.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Указанные в </w:t>
      </w:r>
      <w:hyperlink w:anchor="Par4144" w:history="1">
        <w:r>
          <w:rPr>
            <w:rFonts w:ascii="Arial" w:hAnsi="Arial" w:cs="Arial"/>
            <w:color w:val="0000FF"/>
            <w:sz w:val="20"/>
            <w:szCs w:val="20"/>
          </w:rPr>
          <w:t>абзацах первом</w:t>
        </w:r>
      </w:hyperlink>
      <w:r>
        <w:rPr>
          <w:rFonts w:ascii="Arial" w:hAnsi="Arial" w:cs="Arial"/>
          <w:sz w:val="20"/>
          <w:szCs w:val="20"/>
        </w:rPr>
        <w:t xml:space="preserve"> и </w:t>
      </w:r>
      <w:hyperlink w:anchor="Par4145" w:history="1">
        <w:r>
          <w:rPr>
            <w:rFonts w:ascii="Arial" w:hAnsi="Arial" w:cs="Arial"/>
            <w:color w:val="0000FF"/>
            <w:sz w:val="20"/>
            <w:szCs w:val="20"/>
          </w:rPr>
          <w:t>втором</w:t>
        </w:r>
      </w:hyperlink>
      <w:r>
        <w:rPr>
          <w:rFonts w:ascii="Arial" w:hAnsi="Arial" w:cs="Arial"/>
          <w:sz w:val="20"/>
          <w:szCs w:val="20"/>
        </w:rPr>
        <w:t xml:space="preserve"> настоящего пункта решения подлежат согласованию со штабом по обеспечению безопасности электроснабжения, созданным в соответствующем субъекте Российской Федерации.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Внесение изменений в утвержденные графики аварийного ограничения в предусмотренных настоящим пунктом случаях осуществляется сетевой организацией на основании требований к объемам, времени и местам ввода аварийного ограничения, определенных субъектом оперативно-диспетчерского управления в электроэнергетике, в течение не более 14 календарных дней со дня согласования штабом по обеспечению безопасности электроснабжения соответствующего решения. Утверждение указанных изменений осуществляется сетевой организацией после согласования таких изменений с субъектом оперативно-диспетчерского управления в электроэнергетике.</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(п. 39(1) введен </w:t>
      </w:r>
      <w:hyperlink r:id="rId1246"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13.08.2018 N 937)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40. В случае необходимости аварийного ограничения графики аварийного ограничения вводятся в действие соответствующим субъектом оперативно-диспетчерского управления в электроэнергетике путем выдачи диспетчерских команд и (или) распоряжений.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Диспетчерские распоряжения о введении в действие графиков ограничения режима потребления передаются соответствующим субъектом оперативно-диспетчерского управления в электроэнергетике в сетевые организации в порядке и в сроки, предусмотренные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Сетевая организация в свою очередь доводит информацию о введении в действие графиков ограничения режима потребления до субъектов электроэнергетики, указанных в </w:t>
      </w:r>
      <w:hyperlink w:anchor="Par4156" w:history="1">
        <w:r>
          <w:rPr>
            <w:rFonts w:ascii="Arial" w:hAnsi="Arial" w:cs="Arial"/>
            <w:color w:val="0000FF"/>
            <w:sz w:val="20"/>
            <w:szCs w:val="20"/>
          </w:rPr>
          <w:t>пункте 42</w:t>
        </w:r>
      </w:hyperlink>
      <w:r>
        <w:rPr>
          <w:rFonts w:ascii="Arial" w:hAnsi="Arial" w:cs="Arial"/>
          <w:sz w:val="20"/>
          <w:szCs w:val="20"/>
        </w:rPr>
        <w:t xml:space="preserve"> настоящих Правил, и потребителей.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введении графиков аварийного ограничения потребители могут быть ограничены (отключены) сетевой организацией в подаче электрической энергии до величины аварийной брони.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невыполнении потребителем диспетчерских команд (распоряжений) субъекта оперативно-диспетчерского управления в электроэнергетике, в том числе переданных через сетевую организацию, о введении в действие графиков аварийного ограничения, а также в случае несрабатывания противоаварийной автоматики сетевая организация вправе отключить указанного потребителя непосредственно от центров питания или ограничить его потребление вплоть до уровня аварийной брони.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несоблюдения заданных объемов ввода аварийных ограничений в части графиков временного отключения потребления при возникновении (угрозе возникновения) аварийной перегрузки и повреждения линий электропередачи или иного электротехнического оборудования в целях предотвращения нарушения устойчивой работы энергосистемы, массового повреждения оборудования электрических станций, электрических сетей, а также оборудования потребителей, неорганизованных массовых отключений потребителей субъект оперативно-диспетчерского управления в электроэнергетике может выдать сетевой организации диспетчерскую команду (распоряжение) об отключении линий электропередачи и трансформаторов, питающих энергопринимающие устройства потребителей, не включенных в графики аварийного ограничения, из числа потребителей, перечень которых заранее согласован субъектом оперативно-диспетчерского управления в электроэнергетике и сетевой организацией и опубликован на сайте этой сетевой организации в сети "Интернет", а при отсутствии такого сайта - на официальном сайте субъекта Российской Федерации, и (или) муниципального образования, и (или) в официальных печатных изданиях. В указанный перечень не включаются электроприемники аварийной брони электроснабжения потребителей (отдельных объектов), включенных в перечень потребителей электрической энергии в субъекте Российской Федерации, которые отнесены к категориям потребителей, предусмотренным </w:t>
      </w:r>
      <w:hyperlink w:anchor="Par4183" w:history="1">
        <w:r>
          <w:rPr>
            <w:rFonts w:ascii="Arial" w:hAnsi="Arial" w:cs="Arial"/>
            <w:color w:val="0000FF"/>
            <w:sz w:val="20"/>
            <w:szCs w:val="20"/>
          </w:rPr>
          <w:t>приложением</w:t>
        </w:r>
      </w:hyperlink>
      <w:r>
        <w:rPr>
          <w:rFonts w:ascii="Arial" w:hAnsi="Arial" w:cs="Arial"/>
          <w:sz w:val="20"/>
          <w:szCs w:val="20"/>
        </w:rPr>
        <w:t xml:space="preserve"> к настоящим Правилам.</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247"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24.05.2017 N 624)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316" w:name="Par4155"/>
      <w:bookmarkEnd w:id="316"/>
      <w:r>
        <w:rPr>
          <w:rFonts w:ascii="Arial" w:hAnsi="Arial" w:cs="Arial"/>
          <w:sz w:val="20"/>
          <w:szCs w:val="20"/>
        </w:rPr>
        <w:lastRenderedPageBreak/>
        <w:t>41. При возникновении (угрозе возникновения) отклонений технологических режимов работы электросетевого оборудования, не относящегося к объектам диспетчеризации субъекта оперативно-диспетчерского управления в электроэнергетике, от допустимых значений и при отсутствии диспетчерских команд (распоряжений) субъекта оперативно-диспетчерского управления в электроэнергетике о введении графиков временного отключения потребления сетевая организация вправе ввести в действие указанные графики самостоятельно.</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bookmarkStart w:id="317" w:name="Par4156"/>
      <w:bookmarkEnd w:id="317"/>
      <w:r>
        <w:rPr>
          <w:rFonts w:ascii="Arial" w:hAnsi="Arial" w:cs="Arial"/>
          <w:sz w:val="20"/>
          <w:szCs w:val="20"/>
        </w:rPr>
        <w:t>42. О введении в действие графиков аварийного ограничения сетевая организация уведомляет соответствующих гарантирующих поставщиков (энергосбытовые, энергоснабжающие организации), собственников и иных законных владельцев электрических станций, к шинам распределительных устройств которых присоединены энергопринимающие устройства потребителей, и (или) потребителей в порядке и в сроки, установленные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43. Действия по временному отключению потребления электрической энергии (мощности) в порядке и в сроки, предусмотренные графиками временного отключения потребления, производятся: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а) уполномоченными лицами сетевой организации - по диспетчерской команде (распоряжению) субъекта оперативно-диспетчерского управления в электроэнергетике (в случае, предусмотренном </w:t>
      </w:r>
      <w:hyperlink w:anchor="Par4155" w:history="1">
        <w:r>
          <w:rPr>
            <w:rFonts w:ascii="Arial" w:hAnsi="Arial" w:cs="Arial"/>
            <w:color w:val="0000FF"/>
            <w:sz w:val="20"/>
            <w:szCs w:val="20"/>
          </w:rPr>
          <w:t>пунктом 41</w:t>
        </w:r>
      </w:hyperlink>
      <w:r>
        <w:rPr>
          <w:rFonts w:ascii="Arial" w:hAnsi="Arial" w:cs="Arial"/>
          <w:sz w:val="20"/>
          <w:szCs w:val="20"/>
        </w:rPr>
        <w:t xml:space="preserve"> настоящих Правил, - самостоятельно);</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б) уполномоченными работниками электрических станций в случае, если снабжение потребителей осуществляется непосредственно с шин распределительных устройств электрических станций, - по диспетчерской команде (распоряжению) субъекта оперативно-диспетчерского управления в электроэнергетике, в том числе передаваемой через сетевую организацию;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уполномоченными лицами потребителей - по диспетчерской команде (распоряжению) субъекта оперативно-диспетчерского управления в электроэнергетике, в том числе передаваемой через сетевую организацию.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44. В период действия аварийного ограничения сетевая организация контролирует режим потребления электрической энергии с использованием всех доступных средств и незамедлительно информирует о состоянии этого режима соответствующий субъект оперативно-диспетчерского управления в электроэнергетике.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45. Сетевая организация представляет соответствующему субъекту оперативно-диспетчерского управления в электроэнергетике, гарантирующему поставщику (энергосбытовой, энергоснабжающей организации), потребителям в соответствии с договором энергоснабжения (купли-продажи (поставки) электрической энергии (мощности)) или договором оказания услуг по передаче электрической энергии сведения о фактической величине аварийного ограничения.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Кроме того, сведения о времени отключения и восстановления потребления электрической энергии по потребителям, включенным в графики аварийного ограничения, и тем, кто был отключен в соответствии с </w:t>
      </w:r>
      <w:hyperlink w:anchor="Par4138" w:history="1">
        <w:r>
          <w:rPr>
            <w:rFonts w:ascii="Arial" w:hAnsi="Arial" w:cs="Arial"/>
            <w:color w:val="0000FF"/>
            <w:sz w:val="20"/>
            <w:szCs w:val="20"/>
          </w:rPr>
          <w:t>пунктом 39</w:t>
        </w:r>
      </w:hyperlink>
      <w:r>
        <w:rPr>
          <w:rFonts w:ascii="Arial" w:hAnsi="Arial" w:cs="Arial"/>
          <w:sz w:val="20"/>
          <w:szCs w:val="20"/>
        </w:rPr>
        <w:t xml:space="preserve"> настоящих Правил, сетевая организация обязана разместить на своем сайте в сети "Интернет".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46. Энергопринимающие устройства потребителей всех категорий в установленном нормативными правовыми актами порядке подключаются под действие устройств противоаварийной автоматики.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Необходимость применения противоаварийной автоматики, ее тип, факторы запуска и объемы управляющих воздействий, место ее установки и объекты воздействия определяются субъектом оперативно-диспетчерского управления в электроэнергетике 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 в операционной зоне соответствующего диспетчерского центра.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Субъектом оперативно-диспетчерского управления в электроэнергетике выдаются обязательные задания по объемам нагрузки потребителей, подключаемой под действие противоаварийной автоматики, структуре противоаварийной автоматики и настройке устройств противоаварийной автоматики сетевым организациям, иным владельцам объектов электросетевого хозяйства, собственникам или иным владельцам электростанций либо непосредственно потребителям. Периодичность выдачи указанных заданий определяется субъектом оперативно-диспетчерского управления в электроэнергетике с учетом результатов мониторинга электроэнергетического режима энергосистемы, необходимости ввода в </w:t>
      </w:r>
      <w:r>
        <w:rPr>
          <w:rFonts w:ascii="Arial" w:hAnsi="Arial" w:cs="Arial"/>
          <w:sz w:val="20"/>
          <w:szCs w:val="20"/>
        </w:rPr>
        <w:lastRenderedPageBreak/>
        <w:t>эксплуатацию новых или реконструируемых генерирующих мощностей, объектов электросетевого хозяйства и энергопринимающих устройств потребителей.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Сроки выполнения указанных заданий субъекта оперативно-диспетчерского управления определяются в соответствии с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государственной политики в сфере топливно-энергетического комплекса.</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(абзац введен </w:t>
      </w:r>
      <w:hyperlink r:id="rId1248" w:history="1">
        <w:r>
          <w:rPr>
            <w:rFonts w:ascii="Arial" w:hAnsi="Arial" w:cs="Arial"/>
            <w:color w:val="0000FF"/>
            <w:sz w:val="20"/>
            <w:szCs w:val="20"/>
          </w:rPr>
          <w:t>Постановлением</w:t>
        </w:r>
      </w:hyperlink>
      <w:r>
        <w:rPr>
          <w:rFonts w:ascii="Arial" w:hAnsi="Arial" w:cs="Arial"/>
          <w:sz w:val="20"/>
          <w:szCs w:val="20"/>
        </w:rPr>
        <w:t xml:space="preserve"> Правительства РФ от 13.08.2018 N 937)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Сетевые организации, иные владельцы объектов электросетевого хозяйства, а также собственники и иные владельцы электростанций, потребители, получившие от субъекта оперативно-диспетчерского управления в электроэнергетике задания, представляют указанному субъекту по его требованию не позднее 7 дней со дня предъявления требования, но не чаще 1 раза в месяц, информацию о фактических значениях потребления мощности энергопринимающих устройств, подключенных под действие противоаварийной автоматики, в часы максимальных и минимальных нагрузок энергосистемы. В случае если задание было получено через других субъектов электроэнергетики, соответствующая информация передается указанными лицами таким субъектам электроэнергетики для дальнейшей передачи субъекту оперативно-диспетчерского управления в электроэнергетике.</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249"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13.08.2018 N 937)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47. В случае возникновения внерегламентных отключений ограничение режима потребления является следствием повреждения линий электропередачи и (или) оборудования, в том числе в результате стихийных явлений. Для обеспечения минимально необходимого уровня потребления электрической энергии в соответствии с уровнем технологической или аварийной брони в случае невозможности осуществить передачу электрической энергии из-за повреждения объектов электросетевого хозяйства сетевых организаций или оборудования объектов по производству электрической энергии задействуются резервные источники питания, предусмотренные категорией надежности потребителя.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48. Сетевые организации и субъекты оперативно-диспетчерского управления в электроэнергетике предоставляют по запросу потребителей, в отношении которых было введено аварийное ограничение, и (или) организаций, осуществляющих снабжение электрической энергией таких потребителей, данные о периоде действия указанных в запросе аварийных ограничений и (или) внерегламентных отключений, основаниях введения аварийных ограничений, а также о причинах внерегламентных отключений.</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right"/>
        <w:outlineLvl w:val="1"/>
        <w:rPr>
          <w:rFonts w:ascii="Arial" w:hAnsi="Arial" w:cs="Arial"/>
          <w:sz w:val="20"/>
          <w:szCs w:val="20"/>
        </w:rPr>
      </w:pPr>
      <w:r>
        <w:rPr>
          <w:rFonts w:ascii="Arial" w:hAnsi="Arial" w:cs="Arial"/>
          <w:sz w:val="20"/>
          <w:szCs w:val="20"/>
        </w:rPr>
        <w:t>Приложение</w:t>
      </w:r>
    </w:p>
    <w:p w:rsidR="009F5AFE" w:rsidRDefault="009F5AFE" w:rsidP="009F5AF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к Правилам полного и (или)</w:t>
      </w:r>
    </w:p>
    <w:p w:rsidR="009F5AFE" w:rsidRDefault="009F5AFE" w:rsidP="009F5AF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частичного ограничения режима</w:t>
      </w:r>
    </w:p>
    <w:p w:rsidR="009F5AFE" w:rsidRDefault="009F5AFE" w:rsidP="009F5AF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потребления электрической энергии</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bookmarkStart w:id="318" w:name="Par4183"/>
      <w:bookmarkEnd w:id="318"/>
      <w:r>
        <w:rPr>
          <w:rFonts w:ascii="Arial" w:eastAsiaTheme="minorHAnsi" w:hAnsi="Arial" w:cs="Arial"/>
          <w:color w:val="auto"/>
          <w:sz w:val="20"/>
          <w:szCs w:val="20"/>
        </w:rPr>
        <w:t>КАТЕГОРИИ</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ПОТРЕБИТЕЛЕЙ ЭЛЕКТРИЧЕСКОЙ ЭНЕРГИИ (МОЩНОСТИ), ОГРАНИЧЕНИЕ</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РЕЖИМА ПОТРЕБЛЕНИЯ ЭЛЕКТРИЧЕСКОЙ ЭНЕРГИИ КОТОРЫХ МОЖЕТ</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ПРИВЕСТИ К ЭКОНОМИЧЕСКИМ, ЭКОЛОГИЧЕСКИМ,</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СОЦИАЛЬНЫМ ПОСЛЕДСТВИЯМ</w:t>
      </w:r>
    </w:p>
    <w:p w:rsidR="009F5AFE" w:rsidRDefault="009F5AFE" w:rsidP="009F5AFE">
      <w:pPr>
        <w:autoSpaceDE w:val="0"/>
        <w:autoSpaceDN w:val="0"/>
        <w:adjustRightInd w:val="0"/>
        <w:spacing w:after="0" w:line="240" w:lineRule="auto"/>
        <w:rPr>
          <w:rFonts w:ascii="Arial" w:hAnsi="Arial" w:cs="Arial"/>
          <w:sz w:val="24"/>
          <w:szCs w:val="24"/>
        </w:rPr>
      </w:pPr>
    </w:p>
    <w:tbl>
      <w:tblPr>
        <w:tblW w:w="5000" w:type="pct"/>
        <w:jc w:val="center"/>
        <w:tblLayout w:type="fixed"/>
        <w:tblCellMar>
          <w:top w:w="113" w:type="dxa"/>
          <w:left w:w="113" w:type="dxa"/>
          <w:bottom w:w="113" w:type="dxa"/>
          <w:right w:w="113" w:type="dxa"/>
        </w:tblCellMar>
        <w:tblLook w:val="0000" w:firstRow="0" w:lastRow="0" w:firstColumn="0" w:lastColumn="0" w:noHBand="0" w:noVBand="0"/>
      </w:tblPr>
      <w:tblGrid>
        <w:gridCol w:w="10433"/>
      </w:tblGrid>
      <w:tr w:rsidR="009F5AFE">
        <w:trPr>
          <w:jc w:val="center"/>
        </w:trPr>
        <w:tc>
          <w:tcPr>
            <w:tcW w:w="5000" w:type="pct"/>
            <w:tcBorders>
              <w:left w:val="single" w:sz="24" w:space="0" w:color="CED3F1"/>
              <w:right w:val="single" w:sz="24" w:space="0" w:color="F4F3F8"/>
            </w:tcBorders>
            <w:shd w:val="clear" w:color="auto" w:fill="F4F3F8"/>
          </w:tcPr>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Список изменяющих документов</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(в ред. Постановлений Правительства РФ от 06.03.2015 </w:t>
            </w:r>
            <w:hyperlink r:id="rId1250" w:history="1">
              <w:r>
                <w:rPr>
                  <w:rFonts w:ascii="Arial" w:hAnsi="Arial" w:cs="Arial"/>
                  <w:color w:val="0000FF"/>
                  <w:sz w:val="20"/>
                  <w:szCs w:val="20"/>
                </w:rPr>
                <w:t>N 201</w:t>
              </w:r>
            </w:hyperlink>
            <w:r>
              <w:rPr>
                <w:rFonts w:ascii="Arial" w:hAnsi="Arial" w:cs="Arial"/>
                <w:color w:val="392C69"/>
                <w:sz w:val="20"/>
                <w:szCs w:val="20"/>
              </w:rPr>
              <w:t>,</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26.07.2018 </w:t>
            </w:r>
            <w:hyperlink r:id="rId1251" w:history="1">
              <w:r>
                <w:rPr>
                  <w:rFonts w:ascii="Arial" w:hAnsi="Arial" w:cs="Arial"/>
                  <w:color w:val="0000FF"/>
                  <w:sz w:val="20"/>
                  <w:szCs w:val="20"/>
                </w:rPr>
                <w:t>N 875</w:t>
              </w:r>
            </w:hyperlink>
            <w:r>
              <w:rPr>
                <w:rFonts w:ascii="Arial" w:hAnsi="Arial" w:cs="Arial"/>
                <w:color w:val="392C69"/>
                <w:sz w:val="20"/>
                <w:szCs w:val="20"/>
              </w:rPr>
              <w:t xml:space="preserve">, от 02.03.2019 </w:t>
            </w:r>
            <w:hyperlink r:id="rId1252" w:history="1">
              <w:r>
                <w:rPr>
                  <w:rFonts w:ascii="Arial" w:hAnsi="Arial" w:cs="Arial"/>
                  <w:color w:val="0000FF"/>
                  <w:sz w:val="20"/>
                  <w:szCs w:val="20"/>
                </w:rPr>
                <w:t>N 227</w:t>
              </w:r>
            </w:hyperlink>
            <w:r>
              <w:rPr>
                <w:rFonts w:ascii="Arial" w:hAnsi="Arial" w:cs="Arial"/>
                <w:color w:val="392C69"/>
                <w:sz w:val="20"/>
                <w:szCs w:val="20"/>
              </w:rPr>
              <w:t>)</w:t>
            </w:r>
          </w:p>
        </w:tc>
      </w:tr>
    </w:tbl>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1. Государственные органы, в том числе Федеральная служба безопасности Российской Федерации, Министерство внутренних дел Российской Федерации, Федеральная служба охраны Российской Федерации, Служба внешней разведки Российской Федерации, Федеральная служба войск национальной гвардии Российской Федерации, Главное управление специальных программ Президента Российской Федерации, медицинские учреждения, государственные учреждения ветеринарии, а также организации связи - в отношении объектов сетей связи.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 xml:space="preserve">(в ред. </w:t>
      </w:r>
      <w:hyperlink r:id="rId1253"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02.03.2019 N 227)</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 Организации, осуществляющие эксплуатацию объектов централизованного водоснабжения и (или) канализации населенных пунктов, - в отношении этих объектов.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Угольные и горнорудные предприятия - в отношении объектов вентиляции, водоотлива и основных подъемных устройств, а также метрополитен - в отношении объектов, используемых для обеспечения перевозки пассажиров.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Воинские части Министерства обороны Российской Федерации, Министерства внутренних дел Российской Федерации, войск национальной гвардии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 и Главного управления специальных программ Президента Российской Федерации.</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Постановлений Правительства РФ от 26.07.2018 </w:t>
      </w:r>
      <w:hyperlink r:id="rId1254" w:history="1">
        <w:r>
          <w:rPr>
            <w:rFonts w:ascii="Arial" w:hAnsi="Arial" w:cs="Arial"/>
            <w:color w:val="0000FF"/>
            <w:sz w:val="20"/>
            <w:szCs w:val="20"/>
          </w:rPr>
          <w:t>N 875</w:t>
        </w:r>
      </w:hyperlink>
      <w:r>
        <w:rPr>
          <w:rFonts w:ascii="Arial" w:hAnsi="Arial" w:cs="Arial"/>
          <w:sz w:val="20"/>
          <w:szCs w:val="20"/>
        </w:rPr>
        <w:t xml:space="preserve">, от 02.03.2019 </w:t>
      </w:r>
      <w:hyperlink r:id="rId1255" w:history="1">
        <w:r>
          <w:rPr>
            <w:rFonts w:ascii="Arial" w:hAnsi="Arial" w:cs="Arial"/>
            <w:color w:val="0000FF"/>
            <w:sz w:val="20"/>
            <w:szCs w:val="20"/>
          </w:rPr>
          <w:t>N 227</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Учреждения, исполняющие уголовные наказания, следственные изоляторы, образовательные организации, предприятия и органы уголовно-исполнительной системы.</w:t>
      </w:r>
    </w:p>
    <w:p w:rsidR="009F5AFE" w:rsidRDefault="009F5AFE" w:rsidP="009F5A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(в ред. </w:t>
      </w:r>
      <w:hyperlink r:id="rId1256" w:history="1">
        <w:r>
          <w:rPr>
            <w:rFonts w:ascii="Arial" w:hAnsi="Arial" w:cs="Arial"/>
            <w:color w:val="0000FF"/>
            <w:sz w:val="20"/>
            <w:szCs w:val="20"/>
          </w:rPr>
          <w:t>Постановления</w:t>
        </w:r>
      </w:hyperlink>
      <w:r>
        <w:rPr>
          <w:rFonts w:ascii="Arial" w:hAnsi="Arial" w:cs="Arial"/>
          <w:sz w:val="20"/>
          <w:szCs w:val="20"/>
        </w:rPr>
        <w:t xml:space="preserve"> Правительства РФ от 06.03.2015 N 201)</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Федеральные ядерные центры и объекты, работающие с ядерным топливом и материалами.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7. Организации, выполняющие государственный оборонный заказ с использованием объектов производства взрывчатых веществ и боеприпасов с непрерывным технологическим процессом, - в отношении таких объектов.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8. Организации железнодорожного, водного и воздушного транспорта - в отношении объектов систем диспетчерского управления, блокировки, сигнализации и защиты железнодорожного, водного и воздушного транспорта, а также субъекты электроэнергетики - в отношении диспетчерских центров субъектов оперативно-диспетчерского управления в электроэнергетике и центров управления объектами электросетевого хозяйства.</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right"/>
        <w:outlineLvl w:val="0"/>
        <w:rPr>
          <w:rFonts w:ascii="Arial" w:hAnsi="Arial" w:cs="Arial"/>
          <w:sz w:val="20"/>
          <w:szCs w:val="20"/>
        </w:rPr>
      </w:pPr>
      <w:r>
        <w:rPr>
          <w:rFonts w:ascii="Arial" w:hAnsi="Arial" w:cs="Arial"/>
          <w:sz w:val="20"/>
          <w:szCs w:val="20"/>
        </w:rPr>
        <w:t>Утверждены</w:t>
      </w:r>
    </w:p>
    <w:p w:rsidR="009F5AFE" w:rsidRDefault="009F5AFE" w:rsidP="009F5AF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постановлением Правительства</w:t>
      </w:r>
    </w:p>
    <w:p w:rsidR="009F5AFE" w:rsidRDefault="009F5AFE" w:rsidP="009F5AF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Российской Федерации</w:t>
      </w:r>
    </w:p>
    <w:p w:rsidR="009F5AFE" w:rsidRDefault="009F5AFE" w:rsidP="009F5AF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от 4 мая 2012 г. N 442</w:t>
      </w:r>
    </w:p>
    <w:p w:rsidR="009F5AFE" w:rsidRDefault="009F5AFE" w:rsidP="009F5AFE">
      <w:pPr>
        <w:autoSpaceDE w:val="0"/>
        <w:autoSpaceDN w:val="0"/>
        <w:adjustRightInd w:val="0"/>
        <w:spacing w:after="0" w:line="240" w:lineRule="auto"/>
        <w:jc w:val="center"/>
        <w:rPr>
          <w:rFonts w:ascii="Arial" w:hAnsi="Arial" w:cs="Arial"/>
          <w:sz w:val="20"/>
          <w:szCs w:val="20"/>
        </w:rPr>
      </w:pP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bookmarkStart w:id="319" w:name="Par4213"/>
      <w:bookmarkEnd w:id="319"/>
      <w:r>
        <w:rPr>
          <w:rFonts w:ascii="Arial" w:eastAsiaTheme="minorHAnsi" w:hAnsi="Arial" w:cs="Arial"/>
          <w:color w:val="auto"/>
          <w:sz w:val="20"/>
          <w:szCs w:val="20"/>
        </w:rPr>
        <w:t>ИЗМЕНЕНИЯ,</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КОТОРЫЕ ВНОСЯТСЯ В АКТЫ ПРАВИТЕЛЬСТВА РОССИЙСКОЙ ФЕДЕРАЦИИ</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ПО ВОПРОСАМ ФУНКЦИОНИРОВАНИЯ РОЗНИЧНЫХ РЫНКОВ</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ЭЛЕКТРИЧЕСКОЙ ЭНЕРГИИ</w:t>
      </w:r>
    </w:p>
    <w:p w:rsidR="009F5AFE" w:rsidRDefault="009F5AFE" w:rsidP="009F5AFE">
      <w:pPr>
        <w:autoSpaceDE w:val="0"/>
        <w:autoSpaceDN w:val="0"/>
        <w:adjustRightInd w:val="0"/>
        <w:spacing w:after="0" w:line="240" w:lineRule="auto"/>
        <w:rPr>
          <w:rFonts w:ascii="Arial" w:hAnsi="Arial" w:cs="Arial"/>
          <w:sz w:val="24"/>
          <w:szCs w:val="24"/>
        </w:rPr>
      </w:pPr>
    </w:p>
    <w:tbl>
      <w:tblPr>
        <w:tblW w:w="5000" w:type="pct"/>
        <w:jc w:val="center"/>
        <w:tblLayout w:type="fixed"/>
        <w:tblCellMar>
          <w:top w:w="113" w:type="dxa"/>
          <w:left w:w="113" w:type="dxa"/>
          <w:bottom w:w="113" w:type="dxa"/>
          <w:right w:w="113" w:type="dxa"/>
        </w:tblCellMar>
        <w:tblLook w:val="0000" w:firstRow="0" w:lastRow="0" w:firstColumn="0" w:lastColumn="0" w:noHBand="0" w:noVBand="0"/>
      </w:tblPr>
      <w:tblGrid>
        <w:gridCol w:w="10433"/>
      </w:tblGrid>
      <w:tr w:rsidR="009F5AFE">
        <w:trPr>
          <w:jc w:val="center"/>
        </w:trPr>
        <w:tc>
          <w:tcPr>
            <w:tcW w:w="5000" w:type="pct"/>
            <w:tcBorders>
              <w:left w:val="single" w:sz="24" w:space="0" w:color="CED3F1"/>
              <w:right w:val="single" w:sz="24" w:space="0" w:color="F4F3F8"/>
            </w:tcBorders>
            <w:shd w:val="clear" w:color="auto" w:fill="F4F3F8"/>
          </w:tcPr>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Список изменяющих документов</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(в ред. Постановлений Правительства РФ от 30.01.2019 </w:t>
            </w:r>
            <w:hyperlink r:id="rId1257" w:history="1">
              <w:r>
                <w:rPr>
                  <w:rFonts w:ascii="Arial" w:hAnsi="Arial" w:cs="Arial"/>
                  <w:color w:val="0000FF"/>
                  <w:sz w:val="20"/>
                  <w:szCs w:val="20"/>
                </w:rPr>
                <w:t>N 64</w:t>
              </w:r>
            </w:hyperlink>
            <w:r>
              <w:rPr>
                <w:rFonts w:ascii="Arial" w:hAnsi="Arial" w:cs="Arial"/>
                <w:color w:val="392C69"/>
                <w:sz w:val="20"/>
                <w:szCs w:val="20"/>
              </w:rPr>
              <w:t>,</w:t>
            </w:r>
          </w:p>
          <w:p w:rsidR="009F5AFE" w:rsidRDefault="009F5AFE">
            <w:pPr>
              <w:autoSpaceDE w:val="0"/>
              <w:autoSpaceDN w:val="0"/>
              <w:adjustRightInd w:val="0"/>
              <w:spacing w:after="0" w:line="240" w:lineRule="auto"/>
              <w:jc w:val="center"/>
              <w:rPr>
                <w:rFonts w:ascii="Arial" w:hAnsi="Arial" w:cs="Arial"/>
                <w:color w:val="392C69"/>
                <w:sz w:val="20"/>
                <w:szCs w:val="20"/>
              </w:rPr>
            </w:pPr>
            <w:r>
              <w:rPr>
                <w:rFonts w:ascii="Arial" w:hAnsi="Arial" w:cs="Arial"/>
                <w:color w:val="392C69"/>
                <w:sz w:val="20"/>
                <w:szCs w:val="20"/>
              </w:rPr>
              <w:t xml:space="preserve">от 07.03.2020 </w:t>
            </w:r>
            <w:hyperlink r:id="rId1258" w:history="1">
              <w:r>
                <w:rPr>
                  <w:rFonts w:ascii="Arial" w:hAnsi="Arial" w:cs="Arial"/>
                  <w:color w:val="0000FF"/>
                  <w:sz w:val="20"/>
                  <w:szCs w:val="20"/>
                </w:rPr>
                <w:t>N 246</w:t>
              </w:r>
            </w:hyperlink>
            <w:r>
              <w:rPr>
                <w:rFonts w:ascii="Arial" w:hAnsi="Arial" w:cs="Arial"/>
                <w:color w:val="392C69"/>
                <w:sz w:val="20"/>
                <w:szCs w:val="20"/>
              </w:rPr>
              <w:t xml:space="preserve">, от 10.03.2020 </w:t>
            </w:r>
            <w:hyperlink r:id="rId1259" w:history="1">
              <w:r>
                <w:rPr>
                  <w:rFonts w:ascii="Arial" w:hAnsi="Arial" w:cs="Arial"/>
                  <w:color w:val="0000FF"/>
                  <w:sz w:val="20"/>
                  <w:szCs w:val="20"/>
                </w:rPr>
                <w:t>N 262</w:t>
              </w:r>
            </w:hyperlink>
            <w:r>
              <w:rPr>
                <w:rFonts w:ascii="Arial" w:hAnsi="Arial" w:cs="Arial"/>
                <w:color w:val="392C69"/>
                <w:sz w:val="20"/>
                <w:szCs w:val="20"/>
              </w:rPr>
              <w:t>)</w:t>
            </w:r>
          </w:p>
        </w:tc>
      </w:tr>
    </w:tbl>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В </w:t>
      </w:r>
      <w:hyperlink r:id="rId1260" w:history="1">
        <w:r>
          <w:rPr>
            <w:rFonts w:ascii="Arial" w:hAnsi="Arial" w:cs="Arial"/>
            <w:color w:val="0000FF"/>
            <w:sz w:val="20"/>
            <w:szCs w:val="20"/>
          </w:rPr>
          <w:t>стандартах</w:t>
        </w:r>
      </w:hyperlink>
      <w:r>
        <w:rPr>
          <w:rFonts w:ascii="Arial" w:hAnsi="Arial" w:cs="Arial"/>
          <w:sz w:val="20"/>
          <w:szCs w:val="20"/>
        </w:rPr>
        <w:t xml:space="preserve"> раскрытия информации субъектами оптового и розничных рынков электрической энергии, утвержденных постановлением Правительства Российской Федерации от 21 января 2004 г. N 24 (Собрание законодательства Российской Федерации, 2004, N 4, ст. 282; 2009, N 17, ст. 2088; 2010, N 33, ст. 4431; 2011, N 45, ст. 6404; 2012, N 4, ст. 505):</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а) </w:t>
      </w:r>
      <w:hyperlink r:id="rId1261" w:history="1">
        <w:r>
          <w:rPr>
            <w:rFonts w:ascii="Arial" w:hAnsi="Arial" w:cs="Arial"/>
            <w:color w:val="0000FF"/>
            <w:sz w:val="20"/>
            <w:szCs w:val="20"/>
          </w:rPr>
          <w:t>пункт 9</w:t>
        </w:r>
      </w:hyperlink>
      <w:r>
        <w:rPr>
          <w:rFonts w:ascii="Arial" w:hAnsi="Arial" w:cs="Arial"/>
          <w:sz w:val="20"/>
          <w:szCs w:val="20"/>
        </w:rPr>
        <w:t xml:space="preserve"> дополнить подпунктом "г" следующего содержания: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"г) предложение о размере цен (тарифов), долгосрочных параметров регулирования (при применении метода доходности инвестированного капитала или метода долгосрочной необходимой валовой выручки), </w:t>
      </w:r>
      <w:r>
        <w:rPr>
          <w:rFonts w:ascii="Arial" w:hAnsi="Arial" w:cs="Arial"/>
          <w:sz w:val="20"/>
          <w:szCs w:val="20"/>
        </w:rPr>
        <w:lastRenderedPageBreak/>
        <w:t xml:space="preserve">подлежащих регулированию в соответствии с </w:t>
      </w:r>
      <w:hyperlink r:id="rId1262" w:history="1">
        <w:r>
          <w:rPr>
            <w:rFonts w:ascii="Arial" w:hAnsi="Arial" w:cs="Arial"/>
            <w:color w:val="0000FF"/>
            <w:sz w:val="20"/>
            <w:szCs w:val="20"/>
          </w:rPr>
          <w:t>Основами</w:t>
        </w:r>
      </w:hyperlink>
      <w:r>
        <w:rPr>
          <w:rFonts w:ascii="Arial" w:hAnsi="Arial" w:cs="Arial"/>
          <w:sz w:val="20"/>
          <w:szCs w:val="20"/>
        </w:rPr>
        <w:t xml:space="preserve"> ценообразования в области регулируемых цен (тарифов) в электроэнергетике, утвержденными постановлением Правительства Российской Федерации от 29 декабря 2011 г. N 1178.";</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б) </w:t>
      </w:r>
      <w:hyperlink r:id="rId1263" w:history="1">
        <w:r>
          <w:rPr>
            <w:rFonts w:ascii="Arial" w:hAnsi="Arial" w:cs="Arial"/>
            <w:color w:val="0000FF"/>
            <w:sz w:val="20"/>
            <w:szCs w:val="20"/>
          </w:rPr>
          <w:t>дополнить</w:t>
        </w:r>
      </w:hyperlink>
      <w:r>
        <w:rPr>
          <w:rFonts w:ascii="Arial" w:hAnsi="Arial" w:cs="Arial"/>
          <w:sz w:val="20"/>
          <w:szCs w:val="20"/>
        </w:rPr>
        <w:t xml:space="preserve"> пунктом 10(2) следующего содержания: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"10(2). Указанная в подпункте "г" пункта 9 настоящего документа информация подлежит раскрытию на официальных сайтах регулируемых организаций или на ином официальном сайте в сети Интернет, определяемом Правительством Российской Федерации, и (или) в периодическом печатном издании, в котором публикуются нормативные правовые акты органа исполнительной власти в области регулирования тарифов, - за 10 дней до представления в регулирующий орган предложения об установлении цен (тарифов) и (или) их предельных уровней, содержащего такую информацию.";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в </w:t>
      </w:r>
      <w:hyperlink r:id="rId1264" w:history="1">
        <w:r>
          <w:rPr>
            <w:rFonts w:ascii="Arial" w:hAnsi="Arial" w:cs="Arial"/>
            <w:color w:val="0000FF"/>
            <w:sz w:val="20"/>
            <w:szCs w:val="20"/>
          </w:rPr>
          <w:t>пункте 11</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265" w:history="1">
        <w:r>
          <w:rPr>
            <w:rFonts w:ascii="Arial" w:hAnsi="Arial" w:cs="Arial"/>
            <w:color w:val="0000FF"/>
            <w:sz w:val="20"/>
            <w:szCs w:val="20"/>
          </w:rPr>
          <w:t>абзац шестнадцатый подпункта "б"</w:t>
        </w:r>
      </w:hyperlink>
      <w:r>
        <w:rPr>
          <w:rFonts w:ascii="Arial" w:hAnsi="Arial" w:cs="Arial"/>
          <w:sz w:val="20"/>
          <w:szCs w:val="20"/>
        </w:rPr>
        <w:t xml:space="preserve"> дополнить словами: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а с 1 июля 2012 г. - также по центрам питания ниже 35 кВ";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266" w:history="1">
        <w:r>
          <w:rPr>
            <w:rFonts w:ascii="Arial" w:hAnsi="Arial" w:cs="Arial"/>
            <w:color w:val="0000FF"/>
            <w:sz w:val="20"/>
            <w:szCs w:val="20"/>
          </w:rPr>
          <w:t>дополнить</w:t>
        </w:r>
      </w:hyperlink>
      <w:r>
        <w:rPr>
          <w:rFonts w:ascii="Arial" w:hAnsi="Arial" w:cs="Arial"/>
          <w:sz w:val="20"/>
          <w:szCs w:val="20"/>
        </w:rPr>
        <w:t xml:space="preserve"> подпунктом "в(1)" следующего содержания: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"в(1)) о величине резервируемой максимальной мощности, определяемой в соответствии с </w:t>
      </w:r>
      <w:hyperlink r:id="rId1267" w:history="1">
        <w:r>
          <w:rPr>
            <w:rFonts w:ascii="Arial" w:hAnsi="Arial" w:cs="Arial"/>
            <w:color w:val="0000FF"/>
            <w:sz w:val="20"/>
            <w:szCs w:val="20"/>
          </w:rPr>
          <w:t>Правилами</w:t>
        </w:r>
      </w:hyperlink>
      <w:r>
        <w:rPr>
          <w:rFonts w:ascii="Arial" w:hAnsi="Arial" w:cs="Arial"/>
          <w:sz w:val="20"/>
          <w:szCs w:val="20"/>
        </w:rP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в разбивке по уровням напряжения;";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г) в </w:t>
      </w:r>
      <w:hyperlink r:id="rId1268" w:history="1">
        <w:r>
          <w:rPr>
            <w:rFonts w:ascii="Arial" w:hAnsi="Arial" w:cs="Arial"/>
            <w:color w:val="0000FF"/>
            <w:sz w:val="20"/>
            <w:szCs w:val="20"/>
          </w:rPr>
          <w:t>пункте 12</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269" w:history="1">
        <w:r>
          <w:rPr>
            <w:rFonts w:ascii="Arial" w:hAnsi="Arial" w:cs="Arial"/>
            <w:color w:val="0000FF"/>
            <w:sz w:val="20"/>
            <w:szCs w:val="20"/>
          </w:rPr>
          <w:t>абзац второй</w:t>
        </w:r>
      </w:hyperlink>
      <w:r>
        <w:rPr>
          <w:rFonts w:ascii="Arial" w:hAnsi="Arial" w:cs="Arial"/>
          <w:sz w:val="20"/>
          <w:szCs w:val="20"/>
        </w:rPr>
        <w:t xml:space="preserve"> после слов "подпункта "б" дополнить словами "и в подпункте "в(1)";</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270" w:history="1">
        <w:r>
          <w:rPr>
            <w:rFonts w:ascii="Arial" w:hAnsi="Arial" w:cs="Arial"/>
            <w:color w:val="0000FF"/>
            <w:sz w:val="20"/>
            <w:szCs w:val="20"/>
          </w:rPr>
          <w:t>дополнить</w:t>
        </w:r>
      </w:hyperlink>
      <w:r>
        <w:rPr>
          <w:rFonts w:ascii="Arial" w:hAnsi="Arial" w:cs="Arial"/>
          <w:sz w:val="20"/>
          <w:szCs w:val="20"/>
        </w:rPr>
        <w:t xml:space="preserve"> абзацем следующего содержания: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если появление свободной для технологического присоединения потребителей трансформаторной мощности в центре питания связано с отказом потребителей услуг полностью или частично от максимальной мощности принадлежащих им энергопринимающих устройств, то информация, указанная в абзаце шестнадцатом подпункта "б" пункта 11 настоящего документа, подлежит опубликованию на официальном сайте сетевой организации или на ином официальном сайте в сети Интернет, определяемом Правительством Российской Федерации, в течение 3 дней со дня, с которого максимальная мощность потребителя услуг считается сниженной.";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д) </w:t>
      </w:r>
      <w:hyperlink r:id="rId1271" w:history="1">
        <w:r>
          <w:rPr>
            <w:rFonts w:ascii="Arial" w:hAnsi="Arial" w:cs="Arial"/>
            <w:color w:val="0000FF"/>
            <w:sz w:val="20"/>
            <w:szCs w:val="20"/>
          </w:rPr>
          <w:t>дополнить</w:t>
        </w:r>
      </w:hyperlink>
      <w:r>
        <w:rPr>
          <w:rFonts w:ascii="Arial" w:hAnsi="Arial" w:cs="Arial"/>
          <w:sz w:val="20"/>
          <w:szCs w:val="20"/>
        </w:rPr>
        <w:t xml:space="preserve"> пунктом 17(1) следующего содержания: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"17(1). Производители, являющиеся субъектами розничных рынков электрической энергии, по запросу Федеральной антимонопольной службы и ее территориальных органов предоставляют следующую информацию: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 объем продажи электрической энергии гарантирующему поставщику;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б) величина мощности, соответствующая продаже электрической энергии гарантирующему поставщику.";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е) </w:t>
      </w:r>
      <w:hyperlink r:id="rId1272" w:history="1">
        <w:r>
          <w:rPr>
            <w:rFonts w:ascii="Arial" w:hAnsi="Arial" w:cs="Arial"/>
            <w:color w:val="0000FF"/>
            <w:sz w:val="20"/>
            <w:szCs w:val="20"/>
          </w:rPr>
          <w:t>подпункт "и" пункта 20</w:t>
        </w:r>
      </w:hyperlink>
      <w:r>
        <w:rPr>
          <w:rFonts w:ascii="Arial" w:hAnsi="Arial" w:cs="Arial"/>
          <w:sz w:val="20"/>
          <w:szCs w:val="20"/>
        </w:rPr>
        <w:t xml:space="preserve"> признать утратившим силу;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ж) </w:t>
      </w:r>
      <w:hyperlink r:id="rId1273" w:history="1">
        <w:r>
          <w:rPr>
            <w:rFonts w:ascii="Arial" w:hAnsi="Arial" w:cs="Arial"/>
            <w:color w:val="0000FF"/>
            <w:sz w:val="20"/>
            <w:szCs w:val="20"/>
          </w:rPr>
          <w:t>абзацы седьмой</w:t>
        </w:r>
      </w:hyperlink>
      <w:r>
        <w:rPr>
          <w:rFonts w:ascii="Arial" w:hAnsi="Arial" w:cs="Arial"/>
          <w:sz w:val="20"/>
          <w:szCs w:val="20"/>
        </w:rPr>
        <w:t xml:space="preserve"> и </w:t>
      </w:r>
      <w:hyperlink r:id="rId1274" w:history="1">
        <w:r>
          <w:rPr>
            <w:rFonts w:ascii="Arial" w:hAnsi="Arial" w:cs="Arial"/>
            <w:color w:val="0000FF"/>
            <w:sz w:val="20"/>
            <w:szCs w:val="20"/>
          </w:rPr>
          <w:t>восьмой пункта 21</w:t>
        </w:r>
      </w:hyperlink>
      <w:r>
        <w:rPr>
          <w:rFonts w:ascii="Arial" w:hAnsi="Arial" w:cs="Arial"/>
          <w:sz w:val="20"/>
          <w:szCs w:val="20"/>
        </w:rPr>
        <w:t xml:space="preserve"> признать утратившими силу;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з) </w:t>
      </w:r>
      <w:hyperlink r:id="rId1275" w:history="1">
        <w:r>
          <w:rPr>
            <w:rFonts w:ascii="Arial" w:hAnsi="Arial" w:cs="Arial"/>
            <w:color w:val="0000FF"/>
            <w:sz w:val="20"/>
            <w:szCs w:val="20"/>
          </w:rPr>
          <w:t>пункт 22</w:t>
        </w:r>
      </w:hyperlink>
      <w:r>
        <w:rPr>
          <w:rFonts w:ascii="Arial" w:hAnsi="Arial" w:cs="Arial"/>
          <w:sz w:val="20"/>
          <w:szCs w:val="20"/>
        </w:rPr>
        <w:t xml:space="preserve"> изложить в следующей редакции: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"22. Гарантирующие поставщики помимо информации, предусмотренной пунктами 9 и 20 настоящего документа, раскрывают следующую информацию: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а) размер регулируемой сбытовой надбавки с указанием решения уполномоченного регулирующего органа об установлении тарифа (информация подлежит опубликованию в официальном печатном издании не реже одного раза в год), а начиная с расчетного периода, с которого сбытовые надбавки гарантирующих </w:t>
      </w:r>
      <w:r>
        <w:rPr>
          <w:rFonts w:ascii="Arial" w:hAnsi="Arial" w:cs="Arial"/>
          <w:sz w:val="20"/>
          <w:szCs w:val="20"/>
        </w:rPr>
        <w:lastRenderedPageBreak/>
        <w:t xml:space="preserve">поставщиков определяются в виде формулы, - сбытовые надбавки, рассчитанные гарантирующим поставщиком в соответствии с </w:t>
      </w:r>
      <w:hyperlink r:id="rId1276" w:history="1">
        <w:r>
          <w:rPr>
            <w:rFonts w:ascii="Arial" w:hAnsi="Arial" w:cs="Arial"/>
            <w:color w:val="0000FF"/>
            <w:sz w:val="20"/>
            <w:szCs w:val="20"/>
          </w:rPr>
          <w:t>Основами</w:t>
        </w:r>
      </w:hyperlink>
      <w:r>
        <w:rPr>
          <w:rFonts w:ascii="Arial" w:hAnsi="Arial" w:cs="Arial"/>
          <w:sz w:val="20"/>
          <w:szCs w:val="20"/>
        </w:rPr>
        <w:t xml:space="preserve"> ценообразования в области регулируемых цен (тарифов) в электроэнергетике (в сроки, предусмотренные Основными положениями функционирования розничных рынков электрической энергии, но не реже одного раза в месяц);</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б) предельные уровни нерегулируемых цен на электрическую энергию (мощность) в соответствующем расчетном периоде, дифференцированные по ценовым категориям, в том числе следующие составляющие расчета предельного уровня нерегулируемых цен на электрическую энергию (мощность) для первой ценовой категории, учтенные гарантирующим поставщиком при расчете указанного предельного уровня: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средневзвешенная нерегулируемая цена на электрическую энергию (мощность), используемая для расчета предельного уровня нерегулируемых цен по первой ценовой категории;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средневзвешенная нерегулируемая цена на электрическую энергию на оптовом рынке;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средневзвешенная нерегулируемая цена на мощность на оптовом рынке;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коэффициент оплаты мощности потребителями (покупателями), осуществляющими расчеты по первой ценовой категории;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объем фактического пикового потребления гарантирующего поставщика на оптовом рынке;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суммарная величина мощности, оплачиваемой потребителями (покупателями), осуществляющими расчеты по второй - шестой ценовым категориям, с разбивкой по ценовым категориям;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объем потребления мощности населением и приравненными к нему категориями потребителей;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фактический объем потребления электрической энергии гарантирующим поставщиком на оптовом рынке;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объем покупки электрической энергии гарантирующим поставщиком у производителей электрической энергии (мощности) на розничных рынках;</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суммарный объем потребления электрической энергии потребителями (покупателями), осуществляющими расчеты по второй - шестой ценовым категориям, с разбивкой по ценовым категориям, в том числе суммарный объем потребления электрической энергии в отношении потребителей (покупателей), осуществляющих расчеты по второй ценовой категории, с разбивкой по каждой зоне суток;</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объем потребления электрической энергии населением и приравненными к нему категориями потребителей;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величина изменения средневзвешенной нерегулируемой цены на электрическую энергию (мощность), связанная с учетом данных, относящихся к предыдущим расчетным периодам (при наличии такого изменения);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причины изменения средневзвешенной нерегулируемой цены на электрическую энергию (мощность), связанного с учетом данных, относящихся к предыдущим расчетным периодам (при наличии такого изменения);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 информация о ценах и объемах электрической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 а также величина корректировки составляющей предельного уровня нерегулируемых цен при учете свободного договора купли-продажи электрической энергии, определяемая коммерческим оператором оптового рынка в соответствии с договором о присоединении к торговой системе оптового рынка;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 информация об основаниях для введения полного и (или) частичного ограничения режима потребления электрической энергии (публикуется на официальном сайте гарантирующего поставщика в сети Интернет или в официальном печатном издании);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е) информация о размере задолженности по оплате электрической энергии (предоставляется в течение 5 рабочих дней со дня получения запроса потребителя (покупателя)).";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и) </w:t>
      </w:r>
      <w:hyperlink r:id="rId1277" w:history="1">
        <w:r>
          <w:rPr>
            <w:rFonts w:ascii="Arial" w:hAnsi="Arial" w:cs="Arial"/>
            <w:color w:val="0000FF"/>
            <w:sz w:val="20"/>
            <w:szCs w:val="20"/>
          </w:rPr>
          <w:t>дополнить</w:t>
        </w:r>
      </w:hyperlink>
      <w:r>
        <w:rPr>
          <w:rFonts w:ascii="Arial" w:hAnsi="Arial" w:cs="Arial"/>
          <w:sz w:val="20"/>
          <w:szCs w:val="20"/>
        </w:rPr>
        <w:t xml:space="preserve"> пунктом 22(1) следующего содержания: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"22(1). Указанная в подпункте "б" пункта 22 настоящего документа информация подлежит опубликованию гарантирующими поставщиками в сроки, предусмотренные Основными положениями функционирования розничных рынков электрической энергии, но не реже одного раза в месяц, по форме согласно </w:t>
      </w:r>
      <w:hyperlink r:id="rId1278" w:history="1">
        <w:r>
          <w:rPr>
            <w:rFonts w:ascii="Arial" w:hAnsi="Arial" w:cs="Arial"/>
            <w:color w:val="0000FF"/>
            <w:sz w:val="20"/>
            <w:szCs w:val="20"/>
          </w:rPr>
          <w:t>приложению</w:t>
        </w:r>
      </w:hyperlink>
      <w:r>
        <w:rPr>
          <w:rFonts w:ascii="Arial" w:hAnsi="Arial" w:cs="Arial"/>
          <w:sz w:val="20"/>
          <w:szCs w:val="20"/>
        </w:rPr>
        <w:t xml:space="preserve"> к Правилам определения и применения гарантирующими поставщиками нерегулируемых цен на электрическую энергию (мощность).";</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к) </w:t>
      </w:r>
      <w:hyperlink r:id="rId1279" w:history="1">
        <w:r>
          <w:rPr>
            <w:rFonts w:ascii="Arial" w:hAnsi="Arial" w:cs="Arial"/>
            <w:color w:val="0000FF"/>
            <w:sz w:val="20"/>
            <w:szCs w:val="20"/>
          </w:rPr>
          <w:t>абзацы одиннадцатый</w:t>
        </w:r>
      </w:hyperlink>
      <w:r>
        <w:rPr>
          <w:rFonts w:ascii="Arial" w:hAnsi="Arial" w:cs="Arial"/>
          <w:sz w:val="20"/>
          <w:szCs w:val="20"/>
        </w:rPr>
        <w:t xml:space="preserve"> и </w:t>
      </w:r>
      <w:hyperlink r:id="rId1280" w:history="1">
        <w:r>
          <w:rPr>
            <w:rFonts w:ascii="Arial" w:hAnsi="Arial" w:cs="Arial"/>
            <w:color w:val="0000FF"/>
            <w:sz w:val="20"/>
            <w:szCs w:val="20"/>
          </w:rPr>
          <w:t>двенадцатый пункта 24</w:t>
        </w:r>
      </w:hyperlink>
      <w:r>
        <w:rPr>
          <w:rFonts w:ascii="Arial" w:hAnsi="Arial" w:cs="Arial"/>
          <w:sz w:val="20"/>
          <w:szCs w:val="20"/>
        </w:rPr>
        <w:t xml:space="preserve"> изложить в следующей редакции: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 прогнозных свободных (нерегулируемых) ценах на электрическую энергию (мощность) на следующий период регулирования по субъектам Российской Федерации с указанием используемых параметров для прогноза этих цен, а также с указанием исключительно в информационных целях прогнозного максимального уровня нерегулируемых цен на электрическую энергию (мощность) для первой ценовой категории;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 прогнозных свободных (нерегулируемых) ценах на электрическую энергию (мощность) на следующий месяц по субъектам Российской Федерации с указанием используемых параметров для прогноза этих цен, а также с указанием исключительно в информационных целях прогнозного максимального уровня нерегулируемых цен на электрическую энергию (мощность) для первой ценовой категории.";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л) </w:t>
      </w:r>
      <w:hyperlink r:id="rId1281" w:history="1">
        <w:r>
          <w:rPr>
            <w:rFonts w:ascii="Arial" w:hAnsi="Arial" w:cs="Arial"/>
            <w:color w:val="0000FF"/>
            <w:sz w:val="20"/>
            <w:szCs w:val="20"/>
          </w:rPr>
          <w:t>абзац третий пункта 25</w:t>
        </w:r>
      </w:hyperlink>
      <w:r>
        <w:rPr>
          <w:rFonts w:ascii="Arial" w:hAnsi="Arial" w:cs="Arial"/>
          <w:sz w:val="20"/>
          <w:szCs w:val="20"/>
        </w:rPr>
        <w:t xml:space="preserve"> изложить в следующей редакции: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"Информация, указанная в абзаце одиннадцатом пункта 24 настоящего документа, подлежит опубликованию на официальном сайте организации коммерческой инфраструктуры в сети Интернет в срок не позднее 1 октября текущего периода регулирования и актуализации в течение 13 месяцев со дня первой публикации - ежемесячно не позднее 2 дней до конца месяца, а также в течение 7 рабочих дней со дня официального опубликования нормативных правовых актов, положения которых потребуют изменения использованных при построении прогнозов исходных данных.".</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В </w:t>
      </w:r>
      <w:hyperlink r:id="rId1282" w:history="1">
        <w:r>
          <w:rPr>
            <w:rFonts w:ascii="Arial" w:hAnsi="Arial" w:cs="Arial"/>
            <w:color w:val="0000FF"/>
            <w:sz w:val="20"/>
            <w:szCs w:val="20"/>
          </w:rPr>
          <w:t>постановлении</w:t>
        </w:r>
      </w:hyperlink>
      <w:r>
        <w:rPr>
          <w:rFonts w:ascii="Arial" w:hAnsi="Arial" w:cs="Arial"/>
          <w:sz w:val="20"/>
          <w:szCs w:val="20"/>
        </w:rPr>
        <w:t xml:space="preserve">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(Собрание законодательства Российской Федерации, 2004, N 52, ст. 5525; 2006, N 37, ст. 3876; 2007, N 14, ст. 1687; N 31, ст. 4100; 2009, N 8, ст. 979; N 9, ст. 1103; N 17, ст. 2088; N 25, ст. 3073; N 41, ст. 4771; 2010, N 12, ст. 1333; N 40, ст. 5086; 2011, N 10, ст. 1406; 2012, N 4, ст. 504):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а) в </w:t>
      </w:r>
      <w:hyperlink r:id="rId1283" w:history="1">
        <w:r>
          <w:rPr>
            <w:rFonts w:ascii="Arial" w:hAnsi="Arial" w:cs="Arial"/>
            <w:color w:val="0000FF"/>
            <w:sz w:val="20"/>
            <w:szCs w:val="20"/>
          </w:rPr>
          <w:t>Правилах</w:t>
        </w:r>
      </w:hyperlink>
      <w:r>
        <w:rPr>
          <w:rFonts w:ascii="Arial" w:hAnsi="Arial" w:cs="Arial"/>
          <w:sz w:val="20"/>
          <w:szCs w:val="20"/>
        </w:rPr>
        <w:t xml:space="preserve"> недискриминационного доступа к услугам по передаче электрической энергии и оказания этих услуг, утвержденных указанным постановлением: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284" w:history="1">
        <w:r>
          <w:rPr>
            <w:rFonts w:ascii="Arial" w:hAnsi="Arial" w:cs="Arial"/>
            <w:color w:val="0000FF"/>
            <w:sz w:val="20"/>
            <w:szCs w:val="20"/>
          </w:rPr>
          <w:t>пункте 2</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285" w:history="1">
        <w:r>
          <w:rPr>
            <w:rFonts w:ascii="Arial" w:hAnsi="Arial" w:cs="Arial"/>
            <w:color w:val="0000FF"/>
            <w:sz w:val="20"/>
            <w:szCs w:val="20"/>
          </w:rPr>
          <w:t>абзацы пятый</w:t>
        </w:r>
      </w:hyperlink>
      <w:r>
        <w:rPr>
          <w:rFonts w:ascii="Arial" w:hAnsi="Arial" w:cs="Arial"/>
          <w:sz w:val="20"/>
          <w:szCs w:val="20"/>
        </w:rPr>
        <w:t xml:space="preserve"> - </w:t>
      </w:r>
      <w:hyperlink r:id="rId1286" w:history="1">
        <w:r>
          <w:rPr>
            <w:rFonts w:ascii="Arial" w:hAnsi="Arial" w:cs="Arial"/>
            <w:color w:val="0000FF"/>
            <w:sz w:val="20"/>
            <w:szCs w:val="20"/>
          </w:rPr>
          <w:t>седьмой</w:t>
        </w:r>
      </w:hyperlink>
      <w:r>
        <w:rPr>
          <w:rFonts w:ascii="Arial" w:hAnsi="Arial" w:cs="Arial"/>
          <w:sz w:val="20"/>
          <w:szCs w:val="20"/>
        </w:rPr>
        <w:t xml:space="preserve"> изложить в следующей редакции: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"документы о технологическом присоединении" - документы, составляемые в процессе технологического присоединения энергопринимающих устройств (объектов электроэнергетики) к объектам электросетевого хозяйства, в том числе технические условия, акт об осуществлении технологического присоединения, акт разграничения балансовой принадлежности электросетей, акт разграничения эксплуатационной ответственности сторон;</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"заявленная мощность" - величина мощности, планируемой к использованию в предстоящем расчетном периоде регулирования, применяемая в целях установления тарифов на услуги по передаче электрической энергии и исчисляемая в мегаваттах;</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"максимальная мощность" - наибольшая величина мощности, определенная к одномоментному использованию энергопринимающими устройствами (объектами электросетевого хозяйства) в соответствии с документами о технологическом присоединении и обусловленная составом энергопринимающего оборудования (объектов электросетевого хозяйства) и технологическим процессом потребителя, в пределах которой сетевая организация принимает на себя обязательства обеспечить передачу электрической энергии, исчисляемая в мегаваттах;";</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после </w:t>
      </w:r>
      <w:hyperlink r:id="rId1287" w:history="1">
        <w:r>
          <w:rPr>
            <w:rFonts w:ascii="Arial" w:hAnsi="Arial" w:cs="Arial"/>
            <w:color w:val="0000FF"/>
            <w:sz w:val="20"/>
            <w:szCs w:val="20"/>
          </w:rPr>
          <w:t>абзаца десятого</w:t>
        </w:r>
      </w:hyperlink>
      <w:r>
        <w:rPr>
          <w:rFonts w:ascii="Arial" w:hAnsi="Arial" w:cs="Arial"/>
          <w:sz w:val="20"/>
          <w:szCs w:val="20"/>
        </w:rPr>
        <w:t xml:space="preserve"> дополнить абзацем следующего содержания: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"точка поставки" - место исполнения обязательств по договору об оказании услуг по передаче электрической энергии, используемое для определения объема взаимных обязательств сторон по договору, расположенное на границе балансовой принадлежности энергопринимающих устройств, определенной в акте разграничения балансовой принадлежности электросетей, а до составления в установленном порядке акта разграничения балансовой принадлежности электросетей - в точке присоединения энергопринимающего устройства (объекта электроэнергетики);";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предложение первое </w:t>
      </w:r>
      <w:hyperlink r:id="rId1288" w:history="1">
        <w:r>
          <w:rPr>
            <w:rFonts w:ascii="Arial" w:hAnsi="Arial" w:cs="Arial"/>
            <w:color w:val="0000FF"/>
            <w:sz w:val="20"/>
            <w:szCs w:val="20"/>
          </w:rPr>
          <w:t>пункта 4</w:t>
        </w:r>
      </w:hyperlink>
      <w:r>
        <w:rPr>
          <w:rFonts w:ascii="Arial" w:hAnsi="Arial" w:cs="Arial"/>
          <w:sz w:val="20"/>
          <w:szCs w:val="20"/>
        </w:rPr>
        <w:t xml:space="preserve"> дополнить словами "(с 1 января 2013 г. - на условиях определения обязательств по оказанию услуг по передаче электрической энергии в отношении точек поставки каждого потребителя электрической энергии, обслуживаемого энергосбытовой организацией и гарантирующим поставщиком)";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289" w:history="1">
        <w:r>
          <w:rPr>
            <w:rFonts w:ascii="Arial" w:hAnsi="Arial" w:cs="Arial"/>
            <w:color w:val="0000FF"/>
            <w:sz w:val="20"/>
            <w:szCs w:val="20"/>
          </w:rPr>
          <w:t>абзаце втором пункта 5</w:t>
        </w:r>
      </w:hyperlink>
      <w:r>
        <w:rPr>
          <w:rFonts w:ascii="Arial" w:hAnsi="Arial" w:cs="Arial"/>
          <w:sz w:val="20"/>
          <w:szCs w:val="20"/>
        </w:rPr>
        <w:t xml:space="preserve"> слова "точкой присоединения" заменить словами "точкой поставки";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290" w:history="1">
        <w:r>
          <w:rPr>
            <w:rFonts w:ascii="Arial" w:hAnsi="Arial" w:cs="Arial"/>
            <w:color w:val="0000FF"/>
            <w:sz w:val="20"/>
            <w:szCs w:val="20"/>
          </w:rPr>
          <w:t>дополнить</w:t>
        </w:r>
      </w:hyperlink>
      <w:r>
        <w:rPr>
          <w:rFonts w:ascii="Arial" w:hAnsi="Arial" w:cs="Arial"/>
          <w:sz w:val="20"/>
          <w:szCs w:val="20"/>
        </w:rPr>
        <w:t xml:space="preserve"> пунктом 8(1) следующего содержания: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"8(1). В целях выявления, определения и рационального использования величины мощности объектов электросетевого хозяйства сетевая организация обязана вести учет резервируемой максимальной мощности в отношении потребителей электрической энергии, максимальная мощность энергопринимающих устройств которых в границах балансовой принадлежности составляет не менее 670 кВт, включающий мероприятия по определению и регулярному мониторингу изменений величины резервируемой максимальной мощности в соответствии с настоящим пунктом.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Резервируемая максимальная мощность определяется как разность между максимальной мощностью энергопринимающих устройств потребителя и мощностью, использованной в соответствующем расчетном периоде для определения размера обязательств потребителя по оплате услуг по передаче электрической энергии в соответствии с пунктом 15(1) настоящих Правил. В случае отсутствия данных о почасовых объемах потребления электрической энергии резервируемая максимальная мощность рассчитывается исходя из результатов проведения контрольных замеров и иной имеющейся информации.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Начиная с 1 июля 2012 г. сетевая организация по окончании расчетного периода в отношении каждого потребителя электрической энергии, который заключил договор с этой сетевой организацией и максимальная мощность энергопринимающих устройств которого в границах балансовой принадлежности составляет не менее 670 кВт, рассчитывает величину резервируемой максимальной мощности. В информационных целях сетевая организация указывает величину резервируемой максимальной мощности отдельной строкой в счетах на оплату услуг по передаче электрической энергии, выставляемых ею потребителям электрической энергии, для которых указанная величина подлежит определению.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Сетевая организация не позднее 20-го числа месяца, следующего за окончанием каждого квартала, представляет в соответствующий орган исполнительной власти субъекта Российской Федерации в области государственного регулирования тарифов данные об усредненной за квартал величине резервируемой максимальной мощности суммарно по всем потребителям электрической энергии, в отношении которых эта величина определяется и в отношении энергопринимающих устройств которых такой сетевой организацией заключен договор, с разбивкой по каждому уровню напряжения.";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291" w:history="1">
        <w:r>
          <w:rPr>
            <w:rFonts w:ascii="Arial" w:hAnsi="Arial" w:cs="Arial"/>
            <w:color w:val="0000FF"/>
            <w:sz w:val="20"/>
            <w:szCs w:val="20"/>
          </w:rPr>
          <w:t>пункте 13</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292" w:history="1">
        <w:r>
          <w:rPr>
            <w:rFonts w:ascii="Arial" w:hAnsi="Arial" w:cs="Arial"/>
            <w:color w:val="0000FF"/>
            <w:sz w:val="20"/>
            <w:szCs w:val="20"/>
          </w:rPr>
          <w:t>подпункте "а"</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после слов "к электрической сети," дополнить словами "определенная в соответствии с пунктом 13(1) настоящих Правил,";</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слова "по каждой точке присоединения" заменить словами "по каждой точке поставки";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293" w:history="1">
        <w:r>
          <w:rPr>
            <w:rFonts w:ascii="Arial" w:hAnsi="Arial" w:cs="Arial"/>
            <w:color w:val="0000FF"/>
            <w:sz w:val="20"/>
            <w:szCs w:val="20"/>
          </w:rPr>
          <w:t>подпункт "б"</w:t>
        </w:r>
      </w:hyperlink>
      <w:r>
        <w:rPr>
          <w:rFonts w:ascii="Arial" w:hAnsi="Arial" w:cs="Arial"/>
          <w:sz w:val="20"/>
          <w:szCs w:val="20"/>
        </w:rPr>
        <w:t xml:space="preserve"> изложить в следующей редакции: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"б) порядок определения размера обязательств потребителя услуг по оплате услуг по передаче электрической энергии в соответствии с пунктом 15(1) настоящих Правил, включающий: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сведения об объеме электрической энергии (мощности), используемом для определения размера обязательств, или порядок определения такого объема;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порядок расчета стоимости услуг сетевой организации по передаче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294" w:history="1">
        <w:r>
          <w:rPr>
            <w:rFonts w:ascii="Arial" w:hAnsi="Arial" w:cs="Arial"/>
            <w:color w:val="0000FF"/>
            <w:sz w:val="20"/>
            <w:szCs w:val="20"/>
          </w:rPr>
          <w:t>подпункт "г"</w:t>
        </w:r>
      </w:hyperlink>
      <w:r>
        <w:rPr>
          <w:rFonts w:ascii="Arial" w:hAnsi="Arial" w:cs="Arial"/>
          <w:sz w:val="20"/>
          <w:szCs w:val="20"/>
        </w:rPr>
        <w:t xml:space="preserve"> изложить в следующей редакции: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 сведения о приборах учета электрической энергии (мощности), установленных на дату заключения договора в отношении энергопринимающих устройств, объектов электроэнергетики и используемых для расчетов по договору, с указанием мест их установки, заводских номеров, даты предыдущей и очередной поверки, межповерочного интервала;";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295" w:history="1">
        <w:r>
          <w:rPr>
            <w:rFonts w:ascii="Arial" w:hAnsi="Arial" w:cs="Arial"/>
            <w:color w:val="0000FF"/>
            <w:sz w:val="20"/>
            <w:szCs w:val="20"/>
          </w:rPr>
          <w:t>дополнить</w:t>
        </w:r>
      </w:hyperlink>
      <w:r>
        <w:rPr>
          <w:rFonts w:ascii="Arial" w:hAnsi="Arial" w:cs="Arial"/>
          <w:sz w:val="20"/>
          <w:szCs w:val="20"/>
        </w:rPr>
        <w:t xml:space="preserve"> подпунктами "д" и "е" следующего содержания: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 обязанность потребителя услуг по обеспечению установки и допуску в эксплуатацию приборов учета, соответствующих установленным законодательством Российской Федерации требованиям (в отношении энергопринимающих устройств (объектов электроэнергетики), которые на дату заключения договора не оборудованы приборами учета, либо в случае если установленные приборы учета не соответствуют требованиям законодательства Российской Федерации);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е) обязанность потребителя услуг, энергопринимающие устройства которого подключены к системам противоаварийной и режимной автоматики, установленным в соответствии с </w:t>
      </w:r>
      <w:hyperlink r:id="rId1296" w:history="1">
        <w:r>
          <w:rPr>
            <w:rFonts w:ascii="Arial" w:hAnsi="Arial" w:cs="Arial"/>
            <w:color w:val="0000FF"/>
            <w:sz w:val="20"/>
            <w:szCs w:val="20"/>
          </w:rPr>
          <w:t>Правилами</w:t>
        </w:r>
      </w:hyperlink>
      <w:r>
        <w:rPr>
          <w:rFonts w:ascii="Arial" w:hAnsi="Arial" w:cs="Arial"/>
          <w:sz w:val="20"/>
          <w:szCs w:val="20"/>
        </w:rP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или настоящими Правилами, и находятся под их воздействием, по обеспечению эксплуатации принадлежащих ему на праве собственности или ином законном основании систем противоаварийной и режимной автоматики, а также по обеспечению возможности реализации такого воздействия систем противоаварийной и режимной автоматики в соответствии с требованиями субъекта оперативно-диспетчерского управления в электроэнергетике и сетевой организации.";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297" w:history="1">
        <w:r>
          <w:rPr>
            <w:rFonts w:ascii="Arial" w:hAnsi="Arial" w:cs="Arial"/>
            <w:color w:val="0000FF"/>
            <w:sz w:val="20"/>
            <w:szCs w:val="20"/>
          </w:rPr>
          <w:t>дополнить</w:t>
        </w:r>
      </w:hyperlink>
      <w:r>
        <w:rPr>
          <w:rFonts w:ascii="Arial" w:hAnsi="Arial" w:cs="Arial"/>
          <w:sz w:val="20"/>
          <w:szCs w:val="20"/>
        </w:rPr>
        <w:t xml:space="preserve"> пунктом 13(1) следующего содержания: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"13(1). Величина максимальной мощности энергопринимающих устройств (объектов электросетевого хозяйства) определяется в процессе технологического присоединения или в соответствии с </w:t>
      </w:r>
      <w:hyperlink r:id="rId1298" w:history="1">
        <w:r>
          <w:rPr>
            <w:rFonts w:ascii="Arial" w:hAnsi="Arial" w:cs="Arial"/>
            <w:color w:val="0000FF"/>
            <w:sz w:val="20"/>
            <w:szCs w:val="20"/>
          </w:rPr>
          <w:t>разделом IV</w:t>
        </w:r>
      </w:hyperlink>
      <w:r>
        <w:rPr>
          <w:rFonts w:ascii="Arial" w:hAnsi="Arial" w:cs="Arial"/>
          <w:sz w:val="20"/>
          <w:szCs w:val="20"/>
        </w:rP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 указывается в документах о технологическом присоединении, если иное не установлено настоящим пунктом.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случае если в документах о технологическом присоединении величина максимальной мощности энергопринимающих устройств не указана, а также в случае утраты документов о технологическом присоединении величина максимальной мощности определяется, если иное не установлено соглашением сторон, исходя из наибольшего из почасовых объемов потребления электрической энергии, определенных по результатам проведения контрольных замеров за последние 5 лет либо за срок, когда контрольные замеры проводились, если этот срок составляет меньше 5 лет. В случае несогласия с указанной величиной потребитель вправе обратиться в сетевую организацию с заявлением о восстановлении ранее выданных технических условий в соответствии с </w:t>
      </w:r>
      <w:hyperlink r:id="rId1299" w:history="1">
        <w:r>
          <w:rPr>
            <w:rFonts w:ascii="Arial" w:hAnsi="Arial" w:cs="Arial"/>
            <w:color w:val="0000FF"/>
            <w:sz w:val="20"/>
            <w:szCs w:val="20"/>
          </w:rPr>
          <w:t>пунктом 27</w:t>
        </w:r>
      </w:hyperlink>
      <w:r>
        <w:rPr>
          <w:rFonts w:ascii="Arial" w:hAnsi="Arial" w:cs="Arial"/>
          <w:sz w:val="20"/>
          <w:szCs w:val="20"/>
        </w:rP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00" w:history="1">
        <w:r>
          <w:rPr>
            <w:rFonts w:ascii="Arial" w:hAnsi="Arial" w:cs="Arial"/>
            <w:color w:val="0000FF"/>
            <w:sz w:val="20"/>
            <w:szCs w:val="20"/>
          </w:rPr>
          <w:t>пункте 14</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301" w:history="1">
        <w:r>
          <w:rPr>
            <w:rFonts w:ascii="Arial" w:hAnsi="Arial" w:cs="Arial"/>
            <w:color w:val="0000FF"/>
            <w:sz w:val="20"/>
            <w:szCs w:val="20"/>
          </w:rPr>
          <w:t>подпункты "а"</w:t>
        </w:r>
      </w:hyperlink>
      <w:r>
        <w:rPr>
          <w:rFonts w:ascii="Arial" w:hAnsi="Arial" w:cs="Arial"/>
          <w:sz w:val="20"/>
          <w:szCs w:val="20"/>
        </w:rPr>
        <w:t xml:space="preserve"> - </w:t>
      </w:r>
      <w:hyperlink r:id="rId1302" w:history="1">
        <w:r>
          <w:rPr>
            <w:rFonts w:ascii="Arial" w:hAnsi="Arial" w:cs="Arial"/>
            <w:color w:val="0000FF"/>
            <w:sz w:val="20"/>
            <w:szCs w:val="20"/>
          </w:rPr>
          <w:t>"в"</w:t>
        </w:r>
      </w:hyperlink>
      <w:r>
        <w:rPr>
          <w:rFonts w:ascii="Arial" w:hAnsi="Arial" w:cs="Arial"/>
          <w:sz w:val="20"/>
          <w:szCs w:val="20"/>
        </w:rPr>
        <w:t xml:space="preserve"> изложить в следующей редакции: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"а) соблюдать предусмотренный договором и документами о технологическом присоединении режим потребления (производства)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б) оплачивать услуги сетевой организации по передаче электрической энергии в размере и сроки, которые определены пунктами 15(1) и 15(2) настоящих Правил;</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поддерживать в надлежащем техническом состоянии принадлежащие ему средства релейной защиты и противоаварийной автоматики, приборы учета электрической энергии и мощности, устройства, обеспечивающие регулирование реактивной мощности, а также иные устройства, необходимые для поддержания требуемых параметров надежности и качества электрической энергии, и соблюдать требования, установленные для технологического присоединения и эксплуатации указанных средств, приборов и устройств, а также обеспечивать поддержание установленных автономных резервных источников питания в состоянии готовности к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03" w:history="1">
        <w:r>
          <w:rPr>
            <w:rFonts w:ascii="Arial" w:hAnsi="Arial" w:cs="Arial"/>
            <w:color w:val="0000FF"/>
            <w:sz w:val="20"/>
            <w:szCs w:val="20"/>
          </w:rPr>
          <w:t>подпункте "ж"</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после слов "сетевой организации" дополнить словами "и субъекта оперативно-диспетчерского управления в электроэнергетике";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слова "графиками ограничения (временного отключения) потребления" заменить словами "графиками аварийного ограничения режима потребления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304" w:history="1">
        <w:r>
          <w:rPr>
            <w:rFonts w:ascii="Arial" w:hAnsi="Arial" w:cs="Arial"/>
            <w:color w:val="0000FF"/>
            <w:sz w:val="20"/>
            <w:szCs w:val="20"/>
          </w:rPr>
          <w:t>дополнить</w:t>
        </w:r>
      </w:hyperlink>
      <w:r>
        <w:rPr>
          <w:rFonts w:ascii="Arial" w:hAnsi="Arial" w:cs="Arial"/>
          <w:sz w:val="20"/>
          <w:szCs w:val="20"/>
        </w:rPr>
        <w:t xml:space="preserve"> подпунктами "м" - "п" следующего содержания: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"м) обеспечивать соблюдение установленного в договоре в соответствии с законодательством Российской Федерации порядка взаимодействия сторон договора в процессе учета электрической энергии (мощности) с использованием приборов учета, в том числе в части: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допуска установленного прибора учета в эксплуатацию;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определения прибора учета, по которому осуществляются расчеты за оказанные услуги по передаче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эксплуатации прибора учета, в том числе обеспечение поверки прибора учета по истечении установленного для него межповерочного интервала;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восстановления учета в случае выхода из строя или утраты прибора учета, срок которого не может быть более 2 месяцев;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передачи данных приборов учета, если по условиям договора такая обязанность возложена на потребителя услуг;</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сообщения о выходе прибора учета из эксплуатации;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 обеспечивать соблюдение установленного актом согласования технологической и (или) аварийной брони режима потребления электрической энергии (мощности), а также уровня нагрузки технологической и (или) аварийной брони и сроков завершения технологического процесса при введении ограничения режима потребления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 обеспечивать проведение замеров на энергопринимающих устройствах (объектах электроэнергетики), в отношении которых заключен договор, и предоставлять сетевой организации информацию о результатах проведенных замеров в течение 3 рабочих дней с даты проведения соответствующего замера, кроме случаев наличия у потребителя электрической энергии системы учета, удаленный доступ к данным которой предоставлен сетевой организации, при получении от сетевой организации требования о проведении контрольных или внеочередных замеров с учетом периодичности таких замеров, установленной законодательством Российской Федерации об электроэнергетике, в том числе в соответствии с заданием субъекта оперативно-диспетчерского управления в электроэнергетике;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 обеспечить предоставление проекта акта согласования технологической и (или) аварийной брони в адрес сетевой организации в течение 30 дней с даты заключения договора, если на эту дату у потребителя </w:t>
      </w:r>
      <w:r>
        <w:rPr>
          <w:rFonts w:ascii="Arial" w:hAnsi="Arial" w:cs="Arial"/>
          <w:sz w:val="20"/>
          <w:szCs w:val="20"/>
        </w:rPr>
        <w:lastRenderedPageBreak/>
        <w:t xml:space="preserve">электрической энергии, ограничение режима потребления электрической энергии (мощности) которого может привести к экономическим, экологическим, социальным последствиям, категории которых определены в </w:t>
      </w:r>
      <w:hyperlink w:anchor="Par4183" w:history="1">
        <w:r>
          <w:rPr>
            <w:rFonts w:ascii="Arial" w:hAnsi="Arial" w:cs="Arial"/>
            <w:color w:val="0000FF"/>
            <w:sz w:val="20"/>
            <w:szCs w:val="20"/>
          </w:rPr>
          <w:t>приложении</w:t>
        </w:r>
      </w:hyperlink>
      <w:r>
        <w:rPr>
          <w:rFonts w:ascii="Arial" w:hAnsi="Arial" w:cs="Arial"/>
          <w:sz w:val="20"/>
          <w:szCs w:val="20"/>
        </w:rPr>
        <w:t xml:space="preserve"> к Правилам полного и (или) частичного ограничения режима потребления электрической энергии, отсутствовал акт согласования технологической и (или) аварийной брони, или в течение 30 дней с даты возникновения установленных настоящими Правилами оснований для изменения такого акта.";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05" w:history="1">
        <w:r>
          <w:rPr>
            <w:rFonts w:ascii="Arial" w:hAnsi="Arial" w:cs="Arial"/>
            <w:color w:val="0000FF"/>
            <w:sz w:val="20"/>
            <w:szCs w:val="20"/>
          </w:rPr>
          <w:t>пункте 15</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06" w:history="1">
        <w:r>
          <w:rPr>
            <w:rFonts w:ascii="Arial" w:hAnsi="Arial" w:cs="Arial"/>
            <w:color w:val="0000FF"/>
            <w:sz w:val="20"/>
            <w:szCs w:val="20"/>
          </w:rPr>
          <w:t>подпункте "а"</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слова "в точке присоединения энергопринимающих устройств" заменить словами "в точке поставки";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слова "к электрической сети" исключить;</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07" w:history="1">
        <w:r>
          <w:rPr>
            <w:rFonts w:ascii="Arial" w:hAnsi="Arial" w:cs="Arial"/>
            <w:color w:val="0000FF"/>
            <w:sz w:val="20"/>
            <w:szCs w:val="20"/>
          </w:rPr>
          <w:t>подпункте "в"</w:t>
        </w:r>
      </w:hyperlink>
      <w:r>
        <w:rPr>
          <w:rFonts w:ascii="Arial" w:hAnsi="Arial" w:cs="Arial"/>
          <w:sz w:val="20"/>
          <w:szCs w:val="20"/>
        </w:rPr>
        <w:t xml:space="preserve"> слова "Министерством промышленности и энергетики Российской Федерации" заменить словами "Министерством энергетики Российской Федерации";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308" w:history="1">
        <w:r>
          <w:rPr>
            <w:rFonts w:ascii="Arial" w:hAnsi="Arial" w:cs="Arial"/>
            <w:color w:val="0000FF"/>
            <w:sz w:val="20"/>
            <w:szCs w:val="20"/>
          </w:rPr>
          <w:t>дополнить</w:t>
        </w:r>
      </w:hyperlink>
      <w:r>
        <w:rPr>
          <w:rFonts w:ascii="Arial" w:hAnsi="Arial" w:cs="Arial"/>
          <w:sz w:val="20"/>
          <w:szCs w:val="20"/>
        </w:rPr>
        <w:t xml:space="preserve"> пунктами 15(1) - 15(3) следующего содержания: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"15(1). Обязательства потребителя услуг определяются в размере стоимости оказанных услуг, установленном в соответствии с настоящим пунктом.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Стоимость услуг по передаче электрической энергии определяется исходя из тарифа на услуги по передаче электрической энергии, определяемого в соответствии с разделом V настоящих Правил, и объема оказанных услуг по передаче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До 1 июля 2013 г. объем услуг по передаче электрической энергии, оказанных организацией по управлению единой национальной (общероссийской) электрической сетью, определяется исходя из объема электрической энергии в целях компенсации нормативных технологических потерь в единой национальной (общероссийской) электрической сети и величины заявленной мощности. В случае если в течение расчетного периода регулирования за любые 2 и более часа будет выявлено превышение заявленной мощности более чем на 10 процентов, то начиная с расчетного периода, в котором выявлено такое превышение, и до конца расчетного периода регулирования обязательства по оплате услуг по передаче электрической энергии (за исключением обязательств сетевых организаций) определяются исходя из наибольшего за расчетный период регулирования почасового значения потребления электрической энергии. Начиная с 1 июля 2013 г. обязательства по оплате услуг по передаче электрической энергии, оказанных организацией по управлению единой национальной (общероссийской) электрической сетью (за исключением порядка определения объемов электрической энергии в целях компенсации потерь), определяются в порядке, указанном в настоящем пункте для прочих сетевых организаций.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зависимости от применяемого в отношении потребителя вида цены (тарифа) на услуги по передаче электрической энергии в соответствии с </w:t>
      </w:r>
      <w:hyperlink r:id="rId1309" w:history="1">
        <w:r>
          <w:rPr>
            <w:rFonts w:ascii="Arial" w:hAnsi="Arial" w:cs="Arial"/>
            <w:color w:val="0000FF"/>
            <w:sz w:val="20"/>
            <w:szCs w:val="20"/>
          </w:rPr>
          <w:t>Основами</w:t>
        </w:r>
      </w:hyperlink>
      <w:r>
        <w:rPr>
          <w:rFonts w:ascii="Arial" w:hAnsi="Arial" w:cs="Arial"/>
          <w:sz w:val="20"/>
          <w:szCs w:val="20"/>
        </w:rPr>
        <w:t xml:space="preserve"> ценообразования в области регулируемых цен (тарифов) в электроэнергетике объем услуг по передаче электрической энергии, оказанных прочими сетевыми организациями, вне зависимости от величины, заявленной в соответствии с пунктом 47 настоящих Правил, определяется исходя из фактического объема потребления электрической энергии или исходя из фактического объема потребления электрической энергии и среднего арифметического значения из максимальных в каждые рабочие сутки расчетного периода фактических почасовых объемов потребления электрической энергии (суммарных по всем точкам поставки) в установленные системным оператором плановые часы пиковой нагрузки.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Не позднее 1 января 2013 г. определение обязательств гарантирующего поставщика (энергосбытовой организации), действующего в интересах обслуживаемых им по договорам энергоснабжения потребителей электрической энергии, по оплате им услуг по передаче электрической энергии осуществляется в соответствии с требованиями настоящего пункта по совокупности точек поставки в границах балансовой принадлежности энергопринимающих устройств каждого из обслуживаемых им потребителей электрической энергии, в том числе исходя из варианта цены (тарифа), применяемого в отношении соответствующего потребителя в установленном порядке. Сетевая организация не вправе требовать применения иного способа определения обязательств по оплате услуг по передаче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15(2). Оплата услуг по передаче электрической энергии, если иное не установлено соглашением сторон, должна осуществляться в следующие сроки: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а) гарантирующие поставщики оплачивают услуги по передаче электрической энергии, оказываемые в интересах обслуживаемых ими потребителей, до 15-го числа месяца, следующего за расчетным;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б) иные потребители услуг по передаче электрической энергии (за исключением населения) оплачивают 50 процентов стоимости оказываемых им услуг по передаче электрической энергии на условиях предоплаты.</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15(3). Излишне уплаченная за услуги по передаче электрической энергии сумма засчитывается в счет платежа за следующий месяц.";</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10" w:history="1">
        <w:r>
          <w:rPr>
            <w:rFonts w:ascii="Arial" w:hAnsi="Arial" w:cs="Arial"/>
            <w:color w:val="0000FF"/>
            <w:sz w:val="20"/>
            <w:szCs w:val="20"/>
          </w:rPr>
          <w:t>пункте 17</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11" w:history="1">
        <w:r>
          <w:rPr>
            <w:rFonts w:ascii="Arial" w:hAnsi="Arial" w:cs="Arial"/>
            <w:color w:val="0000FF"/>
            <w:sz w:val="20"/>
            <w:szCs w:val="20"/>
          </w:rPr>
          <w:t>абзаце первом</w:t>
        </w:r>
      </w:hyperlink>
      <w:r>
        <w:rPr>
          <w:rFonts w:ascii="Arial" w:hAnsi="Arial" w:cs="Arial"/>
          <w:sz w:val="20"/>
          <w:szCs w:val="20"/>
        </w:rPr>
        <w:t xml:space="preserve"> слова "обеспечиваются сетевой организацией, если договором не предусмотрено, что указанные действия потребитель услуг совершает самостоятельно" заменить словами "обеспечиваются потребителем услуг, если договором не предусмотрено, что указанные действия осуществляет сетевая организация";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312" w:history="1">
        <w:r>
          <w:rPr>
            <w:rFonts w:ascii="Arial" w:hAnsi="Arial" w:cs="Arial"/>
            <w:color w:val="0000FF"/>
            <w:sz w:val="20"/>
            <w:szCs w:val="20"/>
          </w:rPr>
          <w:t>абзац третий</w:t>
        </w:r>
      </w:hyperlink>
      <w:r>
        <w:rPr>
          <w:rFonts w:ascii="Arial" w:hAnsi="Arial" w:cs="Arial"/>
          <w:sz w:val="20"/>
          <w:szCs w:val="20"/>
        </w:rPr>
        <w:t xml:space="preserve"> изложить в следующей редакции: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"Невыполнение потребителем услуг условий договора, касающихся обеспечения функционирования устройств релейной защиты, противоаварийной и режимной автоматики, является основанием для введения ограничения режима потребления электрической энергии такому потребителю и (или) для направления ему предложения о расторжении договора в связи с существенным нарушением потребителем услуг условий договора.";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313" w:history="1">
        <w:r>
          <w:rPr>
            <w:rFonts w:ascii="Arial" w:hAnsi="Arial" w:cs="Arial"/>
            <w:color w:val="0000FF"/>
            <w:sz w:val="20"/>
            <w:szCs w:val="20"/>
          </w:rPr>
          <w:t>пункт 18</w:t>
        </w:r>
      </w:hyperlink>
      <w:r>
        <w:rPr>
          <w:rFonts w:ascii="Arial" w:hAnsi="Arial" w:cs="Arial"/>
          <w:sz w:val="20"/>
          <w:szCs w:val="20"/>
        </w:rPr>
        <w:t xml:space="preserve"> изложить в следующей редакции: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"18. Лицо, которое намерено заключить договор (далее - заявитель), направляет в сетевую организацию: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 заявление о заключении договора с указанием следующих сведений, подтверждаемых прилагаемыми к нему копиями документов: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отношении заявителей (потребителей электрической энергии) - физических лиц, за исключением индивидуальных предпринимателей, - фамилия, имя и отчество, дата и номер договора энергоснабжения, место нахождения энергопринимающих устройств, в отношении которых заявитель намерен заключить договор;</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отношении заявителей (потребителей электрической энергии) - юридических лиц и индивидуальных предпринимателей - наименование, идентификационный номер налогоплательщика, дата и номер договора энергоснабжения (договора купли-продажи (поставки) электрической энергии (мощности)), заключенного на оптовом и (или) розничном рынках электрической энергии, место нахождения заявителя, место нахождения энергопринимающих устройств, в отношении которых заявитель намерен заключить договор, а также в случае, если в границах балансовой принадлежности помимо энергопринимающих устройств расположены объекты по производству электрической энергии (мощности), - место нахождения таких объектов;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величина максимальной мощности энергопринимающих устройств, в отношении которых заявитель намерен заключить договор, с ее распределением по точкам поставки;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срок начала оказания услуг по передаче электрической энергии, подтверждаемый выпиской из договора энергоснабжения о дате начала снабжения электрической энергией указанного в заявлении потребителя электрической энергии, представляемой гарантирующим поставщиком или энергосбытовой организацией, или выпиской из договора купли-продажи (поставки) электрической энергии (мощности), содержащей сведения о дате начала продажи электрической энергии потребителю электрической энергии, о точках поставки по договору, а также о реквизитах лица, выступающего продавцом по такому договору, представляемой заявителем, который заключил такой договор, либо выпиской из договора о присоединении к торговой системе оптового рынка электрической энергии и мощности, предоставляемой заявителем;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б) акт об осуществлении технологического присоединения (при его наличии);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 однолинейную схему электрической сети заявителя (потребителя электрической энергии, в интересах которого заключается договор) с указанием точек присоединения к объектам электросетевого хозяйства;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 акт разграничения балансовой принадлежности электросетей и акт разграничения эксплуатационной ответственности сторон (при их наличии);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 документы, содержащие описание приборов учета, установленных в отношении энергопринимающих устройств, с указанием типов приборов учета и их классов точности, мест их установки, заводских номеров, даты предыдущей и очередной государственной поверки, межповерочного интервала;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е) копию договора об оказании услуг по оперативно-диспетчерскому управлению - в случае заключения договора с организацией по управлению единой национальной (общероссийской) электрической сетью;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ж) проект договора - по желанию заявителя;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з) акт согласования технологической и (или) аварийной брони (при его наличии).";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314" w:history="1">
        <w:r>
          <w:rPr>
            <w:rFonts w:ascii="Arial" w:hAnsi="Arial" w:cs="Arial"/>
            <w:color w:val="0000FF"/>
            <w:sz w:val="20"/>
            <w:szCs w:val="20"/>
          </w:rPr>
          <w:t>дополнить</w:t>
        </w:r>
      </w:hyperlink>
      <w:r>
        <w:rPr>
          <w:rFonts w:ascii="Arial" w:hAnsi="Arial" w:cs="Arial"/>
          <w:sz w:val="20"/>
          <w:szCs w:val="20"/>
        </w:rPr>
        <w:t xml:space="preserve"> пунктом 18(1) следующего содержания: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"18(1). В случае если прошло не более 3 лет с даты расторжения договора, ранее заключенного заявителем с сетевой организацией, и если заявитель имеет намерение вновь заключить договор с той же сетевой организацией и в отношении тех же энергопринимающих устройств, при условии что за указанный срок не было внесено изменений в документы о технологическом присоединении, он направляет в сетевую организацию заявление о заключении соответствующего договора с указанием информации, указанной в подпункте "а" пункта 18 настоящих Правил, с приложением подтверждающих эту информацию документов и по желанию - проект договора. В этом случае иные документы, указанные в пункте 18 настоящих Правил, заявитель обязан предоставить только при условии, если в них имеются изменения относительно документов, предоставленных им сетевой организации при заключении предыдущего договора, а при отсутствии таких изменений сетевая организация при заключении договора использует документы, предоставленные ей при заключении предыдущего договора.";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315" w:history="1">
        <w:r>
          <w:rPr>
            <w:rFonts w:ascii="Arial" w:hAnsi="Arial" w:cs="Arial"/>
            <w:color w:val="0000FF"/>
            <w:sz w:val="20"/>
            <w:szCs w:val="20"/>
          </w:rPr>
          <w:t>пункт 19</w:t>
        </w:r>
      </w:hyperlink>
      <w:r>
        <w:rPr>
          <w:rFonts w:ascii="Arial" w:hAnsi="Arial" w:cs="Arial"/>
          <w:sz w:val="20"/>
          <w:szCs w:val="20"/>
        </w:rPr>
        <w:t xml:space="preserve"> изложить в следующей редакции: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"19. Договоры, заключаемые для целей использования электрической энергии при предоставлении гражданам - потребителям коммунальной услуги по электроснабжению (а также в случае отсутствия централизованных теплоснабжения и (или) горячего водоснабжения для целей ее использования при предоставлении коммунальной услуги по отоплению и (или) горячему водоснабжению), либо договоры, заключаемые в интересах граждан - потребителей электрической энергии на розничных рынках, заключаются гарантирующим поставщиком (энергосбытовой организацией), обслуживающим соответствующих потребителей. Такие договоры включают условия, указанные в подпунктах "в" - "е" пункта 13, подпунктах "а" - "в" (при наличии соответствующего оборудования), "л" и "м" пункта 14, подпунктах "а", "б" и "г" пункта 15 настоящих Правил.";</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316" w:history="1">
        <w:r>
          <w:rPr>
            <w:rFonts w:ascii="Arial" w:hAnsi="Arial" w:cs="Arial"/>
            <w:color w:val="0000FF"/>
            <w:sz w:val="20"/>
            <w:szCs w:val="20"/>
          </w:rPr>
          <w:t>пункт 20</w:t>
        </w:r>
      </w:hyperlink>
      <w:r>
        <w:rPr>
          <w:rFonts w:ascii="Arial" w:hAnsi="Arial" w:cs="Arial"/>
          <w:sz w:val="20"/>
          <w:szCs w:val="20"/>
        </w:rPr>
        <w:t xml:space="preserve"> дополнить словами "либо протокол разногласий к проекту договора в установленном порядке";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317" w:history="1">
        <w:r>
          <w:rPr>
            <w:rFonts w:ascii="Arial" w:hAnsi="Arial" w:cs="Arial"/>
            <w:color w:val="0000FF"/>
            <w:sz w:val="20"/>
            <w:szCs w:val="20"/>
          </w:rPr>
          <w:t>абзац второй пункта 23</w:t>
        </w:r>
      </w:hyperlink>
      <w:r>
        <w:rPr>
          <w:rFonts w:ascii="Arial" w:hAnsi="Arial" w:cs="Arial"/>
          <w:sz w:val="20"/>
          <w:szCs w:val="20"/>
        </w:rPr>
        <w:t xml:space="preserve"> признать утратившим силу;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18" w:history="1">
        <w:r>
          <w:rPr>
            <w:rFonts w:ascii="Arial" w:hAnsi="Arial" w:cs="Arial"/>
            <w:color w:val="0000FF"/>
            <w:sz w:val="20"/>
            <w:szCs w:val="20"/>
          </w:rPr>
          <w:t>пункте 24</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319" w:history="1">
        <w:r>
          <w:rPr>
            <w:rFonts w:ascii="Arial" w:hAnsi="Arial" w:cs="Arial"/>
            <w:color w:val="0000FF"/>
            <w:sz w:val="20"/>
            <w:szCs w:val="20"/>
          </w:rPr>
          <w:t>подпункт "б"</w:t>
        </w:r>
      </w:hyperlink>
      <w:r>
        <w:rPr>
          <w:rFonts w:ascii="Arial" w:hAnsi="Arial" w:cs="Arial"/>
          <w:sz w:val="20"/>
          <w:szCs w:val="20"/>
        </w:rPr>
        <w:t xml:space="preserve"> признать утратившим силу;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20" w:history="1">
        <w:r>
          <w:rPr>
            <w:rFonts w:ascii="Arial" w:hAnsi="Arial" w:cs="Arial"/>
            <w:color w:val="0000FF"/>
            <w:sz w:val="20"/>
            <w:szCs w:val="20"/>
          </w:rPr>
          <w:t>подпункте "в"</w:t>
        </w:r>
      </w:hyperlink>
      <w:r>
        <w:rPr>
          <w:rFonts w:ascii="Arial" w:hAnsi="Arial" w:cs="Arial"/>
          <w:sz w:val="20"/>
          <w:szCs w:val="20"/>
        </w:rPr>
        <w:t xml:space="preserve"> слова "направления заявления о заключении договора лицом, которое не имеет технологического присоединения (непосредственного или опосредованного) к электрическим сетям этой сетевой организации" заменить словами "направления заявления о заключении договора в отношении энергопринимающих устройств, которые не имеют технологического присоединения (непосредственного или опосредованного) к объектам электросетевого хозяйства этой сетевой организации и (или) имеют технологическое присоединение к объектам электросетевого хозяйства, которые выбыли из владения этой сетевой организации в установленном законом порядке";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321" w:history="1">
        <w:r>
          <w:rPr>
            <w:rFonts w:ascii="Arial" w:hAnsi="Arial" w:cs="Arial"/>
            <w:color w:val="0000FF"/>
            <w:sz w:val="20"/>
            <w:szCs w:val="20"/>
          </w:rPr>
          <w:t>пункт 26</w:t>
        </w:r>
      </w:hyperlink>
      <w:r>
        <w:rPr>
          <w:rFonts w:ascii="Arial" w:hAnsi="Arial" w:cs="Arial"/>
          <w:sz w:val="20"/>
          <w:szCs w:val="20"/>
        </w:rPr>
        <w:t xml:space="preserve"> признать утратившим силу;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322" w:history="1">
        <w:r>
          <w:rPr>
            <w:rFonts w:ascii="Arial" w:hAnsi="Arial" w:cs="Arial"/>
            <w:color w:val="0000FF"/>
            <w:sz w:val="20"/>
            <w:szCs w:val="20"/>
          </w:rPr>
          <w:t>пункты 28</w:t>
        </w:r>
      </w:hyperlink>
      <w:r>
        <w:rPr>
          <w:rFonts w:ascii="Arial" w:hAnsi="Arial" w:cs="Arial"/>
          <w:sz w:val="20"/>
          <w:szCs w:val="20"/>
        </w:rPr>
        <w:t xml:space="preserve"> и </w:t>
      </w:r>
      <w:hyperlink r:id="rId1323" w:history="1">
        <w:r>
          <w:rPr>
            <w:rFonts w:ascii="Arial" w:hAnsi="Arial" w:cs="Arial"/>
            <w:color w:val="0000FF"/>
            <w:sz w:val="20"/>
            <w:szCs w:val="20"/>
          </w:rPr>
          <w:t>29</w:t>
        </w:r>
      </w:hyperlink>
      <w:r>
        <w:rPr>
          <w:rFonts w:ascii="Arial" w:hAnsi="Arial" w:cs="Arial"/>
          <w:sz w:val="20"/>
          <w:szCs w:val="20"/>
        </w:rPr>
        <w:t xml:space="preserve"> изложить в следующей редакции: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"28. Обязательным условием для начала оказания услуг по передаче электрической энергии потребителю услуг является начало исполнения потребителем услуг договора энергоснабжения (договора купли-продажи (поставки) электрической энергии (мощности)) на оптовом и (или) розничном рынках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Дата начала исполнения договора энергоснабжения (договора купли-продажи (поставки) электрической энергии (мощности)) определяется в соответствии с Основными положениями функционирования розничных рынков электрической энергии или договором о присоединении к торговой системе оптового рынка электрической энергии и мощности. При этом дата начала поставки электрической энергии по договору купли-продажи (поставки) электрической энергии (мощности) не может быть ранее даты заключения договора об оказании услуг по передаче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29. Сетевая организация в порядке и по основаниям, указанным в </w:t>
      </w:r>
      <w:hyperlink w:anchor="Par3675" w:history="1">
        <w:r>
          <w:rPr>
            <w:rFonts w:ascii="Arial" w:hAnsi="Arial" w:cs="Arial"/>
            <w:color w:val="0000FF"/>
            <w:sz w:val="20"/>
            <w:szCs w:val="20"/>
          </w:rPr>
          <w:t>Правилах</w:t>
        </w:r>
      </w:hyperlink>
      <w:r>
        <w:rPr>
          <w:rFonts w:ascii="Arial" w:hAnsi="Arial" w:cs="Arial"/>
          <w:sz w:val="20"/>
          <w:szCs w:val="20"/>
        </w:rPr>
        <w:t xml:space="preserve"> полного и (или) частичного ограничения режима потребления электрической энергии, вводит ограничение режима потребления электрической энергии потребителем, что не влечет за собой расторжения договора.";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324" w:history="1">
        <w:r>
          <w:rPr>
            <w:rFonts w:ascii="Arial" w:hAnsi="Arial" w:cs="Arial"/>
            <w:color w:val="0000FF"/>
            <w:sz w:val="20"/>
            <w:szCs w:val="20"/>
          </w:rPr>
          <w:t>пункт 31</w:t>
        </w:r>
      </w:hyperlink>
      <w:r>
        <w:rPr>
          <w:rFonts w:ascii="Arial" w:hAnsi="Arial" w:cs="Arial"/>
          <w:sz w:val="20"/>
          <w:szCs w:val="20"/>
        </w:rPr>
        <w:t xml:space="preserve"> признать утратившим силу;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325" w:history="1">
        <w:r>
          <w:rPr>
            <w:rFonts w:ascii="Arial" w:hAnsi="Arial" w:cs="Arial"/>
            <w:color w:val="0000FF"/>
            <w:sz w:val="20"/>
            <w:szCs w:val="20"/>
          </w:rPr>
          <w:t>дополнить</w:t>
        </w:r>
      </w:hyperlink>
      <w:r>
        <w:rPr>
          <w:rFonts w:ascii="Arial" w:hAnsi="Arial" w:cs="Arial"/>
          <w:sz w:val="20"/>
          <w:szCs w:val="20"/>
        </w:rPr>
        <w:t xml:space="preserve"> пунктами 31(1) - 31(6) следующего содержания: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"31(1). В целях исполнения договора в части условий о величинах технологической и (или) аварийной брони потребитель электрической энергии (мощности), ограничение режима потребления электрической энергии (мощности) которого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технологических процессов, в том числе потребитель электрической энергии, частичное или полное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относящийся к категориям, определенным в </w:t>
      </w:r>
      <w:hyperlink w:anchor="Par4183" w:history="1">
        <w:r>
          <w:rPr>
            <w:rFonts w:ascii="Arial" w:hAnsi="Arial" w:cs="Arial"/>
            <w:color w:val="0000FF"/>
            <w:sz w:val="20"/>
            <w:szCs w:val="20"/>
          </w:rPr>
          <w:t>приложении</w:t>
        </w:r>
      </w:hyperlink>
      <w:r>
        <w:rPr>
          <w:rFonts w:ascii="Arial" w:hAnsi="Arial" w:cs="Arial"/>
          <w:sz w:val="20"/>
          <w:szCs w:val="20"/>
        </w:rPr>
        <w:t xml:space="preserve"> к Правилам полного и (или) частичного ограничения режима потребления электрической энергии, в отношении которого при осуществлении технологического присоединения энергопринимающих устройств к объектам электросетевого хозяйства не был составлен и согласован с сетевой организацией акт согласования технологической и (или) аварийной брони либо он нуждается в изменении в связи с наступлением указанных в пункте 31(2) настоящих Правил случаев, вправе составить и согласовать такой акт в порядке, установленном в пункте 31(4) настоящих Правил, как до заключения договора, так и после его заключения.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31(2). Акт согласования технологической и (или) аварийной брони может быть изменен:</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 при изменении схемы внутреннего электроснабжения потребителя и (или) категории надежности, если это не влечет изменение схемы внешнего электроснабжения энергопринимающих устройств;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б) при изменении технологического процесса осуществляемой с использованием энергопринимающих устройств деятельности;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в других случаях, которые определяются при составлении акта.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31(3). Акт технологической и (или) аварийной брони подлежит включению в договор в качестве приложения вплоть до истечения срока его действия либо до расторжения договора. Если этот акт был составлен после заключения договора, то он подлежит включению в договор в качестве приложения с даты его согласования с сетевой организацией.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31(4). Потребитель, указанный в пункте 31(1) настоящих Правил, составляет и направляет проект акта технологической и (или) аварийной брони, в том числе через гарантирующего поставщика (энергосбытовую организацию), с которым им заключен договор энергоснабжения, на рассмотрение сетевой организации, к объектам электросетевого хозяйства которой присоединены (непосредственно или опосредованно) энергопринимающие устройства такого потребителя.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Сетевая организация обязана в течение 10 рабочих дней со дня получения проекта указанного акта рассмотреть его, подписать и направить 1 экземпляр потребителю. При необходимости проведения </w:t>
      </w:r>
      <w:r>
        <w:rPr>
          <w:rFonts w:ascii="Arial" w:hAnsi="Arial" w:cs="Arial"/>
          <w:sz w:val="20"/>
          <w:szCs w:val="20"/>
        </w:rPr>
        <w:lastRenderedPageBreak/>
        <w:t>осмотра (обследования) энергопринимающих устройств, в отношении которых заключен договор, указанный срок может быть продлен, но не более чем на 10 рабочих дней.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При рассмотрении проекта акта согласования технологической и (или) аварийной брони сетевая организация вправе осуществить проверку представленных сведений с целью определения величины наименьшей потребляемой мощности и продолжительности времени, необходимых потребителю электрической энергии для безопасного завершения технологического процесса, цикла производства, а также минимального расхода электрической энергии (наименьшей мощности), обеспечивающего безопасное для жизни и здоровья людей и окружающей среды состояние энергопринимающего устройства с полностью остановленным технологическим процессом. При необходимости сетевая организация вправе осуществить осмотр (обследование) энергопринимающих устройств потребителя электрической энергии, объектов электроэнергетики на соответствие требованиям, предусмотренным </w:t>
      </w:r>
      <w:hyperlink r:id="rId1326" w:history="1">
        <w:r>
          <w:rPr>
            <w:rFonts w:ascii="Arial" w:hAnsi="Arial" w:cs="Arial"/>
            <w:color w:val="0000FF"/>
            <w:sz w:val="20"/>
            <w:szCs w:val="20"/>
          </w:rPr>
          <w:t>правилами</w:t>
        </w:r>
      </w:hyperlink>
      <w:r>
        <w:rPr>
          <w:rFonts w:ascii="Arial" w:hAnsi="Arial" w:cs="Arial"/>
          <w:sz w:val="20"/>
          <w:szCs w:val="20"/>
        </w:rPr>
        <w:t xml:space="preserve"> разработки и применения графиков аварийного ограничения режима потребления электрической энергии и использования противоаварийной автоматики, утверждаемыми Министерством энергетики Российской Федерации.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несогласия сетевой организации с представленным заявителем проектом акта согласования технологической и (или) аварийной брони такой проект акта подписывается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подписан сетевой организацией с замечаниями к величине технологической и (или) аварийной брони, то в качестве согласованной величины технологической и (или) аварийной брони принимается величина, указанная в замечаниях сетевой организации.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31(5). В договор включаются условия, соответствующие установленной документами о технологическом присоединении категории надежности энергопринимающих устройств, в отношении которых заключен договор:</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а) о допустимом числе часов ограничения режима потребления в год, не связанного с неисполнением потребителем услуг (потребителем электрической энергии, в интересах которого заключен договор) обязательств по соответствующим договорам и их расторжением, а также с обстоятельствами непреодолимой силы и иными основаниями, исключающим ответственность сетевых организаций, гарантирующих поставщиков, энергосбытовых организаций и иных субъектов электроэнергетики перед потребителем услуг (потребителем электрической энергии, в интересах которого заключен договор) в соответствии с законодательством Российской Федерации и условиями договоров. Условие о допустимом числе часов отключений потребления в год не исключает обязанность потребителя услуг (потребителя электрической энергии, в интересах которого заключен договор) совершать действия, предусмотренные </w:t>
      </w:r>
      <w:hyperlink w:anchor="Par3675" w:history="1">
        <w:r>
          <w:rPr>
            <w:rFonts w:ascii="Arial" w:hAnsi="Arial" w:cs="Arial"/>
            <w:color w:val="0000FF"/>
            <w:sz w:val="20"/>
            <w:szCs w:val="20"/>
          </w:rPr>
          <w:t>Правилами</w:t>
        </w:r>
      </w:hyperlink>
      <w:r>
        <w:rPr>
          <w:rFonts w:ascii="Arial" w:hAnsi="Arial" w:cs="Arial"/>
          <w:sz w:val="20"/>
          <w:szCs w:val="20"/>
        </w:rPr>
        <w:t xml:space="preserve"> полного и (или) частичного ограничения режима потребления электрической энергии, направленные на введение в отношении него полного или частичного ограничения режима потребления по истечении указанного допустимого числа часов отключений потребления в год;</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б) о сроке восстановления энергоснабжения энергопринимающих устройств, в отношении которых заключен договор.</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31(6). Категория надежности обусловливает содержание обязательств сетевой организации по обеспечению надежности снабжения электрической энергией энергопринимающих устройств, в отношении которых заключен договор.</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Для первой и второй категорий надежности допустимое число часов отключения в год и сроки восстановления энергоснабжения определяются сторонами в договоре в зависимости от параметров схемы электроснабжения, наличия резервных источников питания и особенностей технологического процесса осуществляемой потребителем услуг (потребителем электрической энергии, в интересах которого заключен договор) деятельности, но не могут быть более величин, предусмотренных для третьей категории надежности.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Для третьей категории надежности допустимое число часов отключения в год составляет 72 часа, но не более 24 часов подряд, включая срок восстановления электроснабжения, за исключением случаев, когда для производства ремонта объектов электросетевого хозяйства необходимы более длительные сроки, согласованные с Федеральной службой по экологическому, технологическому и атомному надзору.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Потребитель услуг (потребитель электрической энергии, в интересах которого заключен договор) обязан обеспечить поддержание автономного резервного источника питания, необходимость установки </w:t>
      </w:r>
      <w:r>
        <w:rPr>
          <w:rFonts w:ascii="Arial" w:hAnsi="Arial" w:cs="Arial"/>
          <w:sz w:val="20"/>
          <w:szCs w:val="20"/>
        </w:rPr>
        <w:lastRenderedPageBreak/>
        <w:t>которого определена в процессе технологического присоединения, в состоянии готовности к его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Если необходимость установки автономных резервных источников питания возникла после завершения технологического присоединения, то потребитель услуг (потребитель электрической энергии, в интересах которого заключен договор) обязан обеспечить его установку и подключение в порядке, установленном </w:t>
      </w:r>
      <w:hyperlink r:id="rId1327" w:history="1">
        <w:r>
          <w:rPr>
            <w:rFonts w:ascii="Arial" w:hAnsi="Arial" w:cs="Arial"/>
            <w:color w:val="0000FF"/>
            <w:sz w:val="20"/>
            <w:szCs w:val="20"/>
          </w:rPr>
          <w:t>Правилами</w:t>
        </w:r>
      </w:hyperlink>
      <w:r>
        <w:rPr>
          <w:rFonts w:ascii="Arial" w:hAnsi="Arial" w:cs="Arial"/>
          <w:sz w:val="20"/>
          <w:szCs w:val="20"/>
        </w:rP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Сетевая организация не несет ответственности за последствия, возникшие вследствие неисполнения потребителем услуг требований настоящего пункта и повлекшие за собой повреждение оборудования, угрозу жизни и здоровью людей, экологической безопасности и (или) безопасности государства, значительный материальный ущерб, необратимые (недопустимые) нарушения непрерывных технологических процессов производства.";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предложения второе и третье пункта 34 изложить в следующей редакции: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"Услуга предоставляется в пределах величины максимальной мощности в точках поставки, соответствующих точкам присоединения объектов электросетевого хозяйства одной сетевой организации к объектам другой сетевой организации. Потребитель услуг, предоставляемых по такому договору, определяется в соответствии с пунктом 41 настоящих Правил.";</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28" w:history="1">
        <w:r>
          <w:rPr>
            <w:rFonts w:ascii="Arial" w:hAnsi="Arial" w:cs="Arial"/>
            <w:color w:val="0000FF"/>
            <w:sz w:val="20"/>
            <w:szCs w:val="20"/>
          </w:rPr>
          <w:t>абзаце третьем пункта 37</w:t>
        </w:r>
      </w:hyperlink>
      <w:r>
        <w:rPr>
          <w:rFonts w:ascii="Arial" w:hAnsi="Arial" w:cs="Arial"/>
          <w:sz w:val="20"/>
          <w:szCs w:val="20"/>
        </w:rPr>
        <w:t xml:space="preserve"> слова "федеральному государственному унитарному предприятию "Российский государственный концерн по производству электрической и тепловой энергии на атомных станциях" заменить словами "открытому акционерному обществу "Концерн по производству электрической и тепловой энергии на атомных станциях";</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29" w:history="1">
        <w:r>
          <w:rPr>
            <w:rFonts w:ascii="Arial" w:hAnsi="Arial" w:cs="Arial"/>
            <w:color w:val="0000FF"/>
            <w:sz w:val="20"/>
            <w:szCs w:val="20"/>
          </w:rPr>
          <w:t>пункте 38</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30" w:history="1">
        <w:r>
          <w:rPr>
            <w:rFonts w:ascii="Arial" w:hAnsi="Arial" w:cs="Arial"/>
            <w:color w:val="0000FF"/>
            <w:sz w:val="20"/>
            <w:szCs w:val="20"/>
          </w:rPr>
          <w:t>подпункте "а"</w:t>
        </w:r>
      </w:hyperlink>
      <w:r>
        <w:rPr>
          <w:rFonts w:ascii="Arial" w:hAnsi="Arial" w:cs="Arial"/>
          <w:sz w:val="20"/>
          <w:szCs w:val="20"/>
        </w:rPr>
        <w:t xml:space="preserve"> слова "присоединенной (заявленной)" заменить словом "максимальной", слова "точке присоединения" заменить словами "точке поставки";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331" w:history="1">
        <w:r>
          <w:rPr>
            <w:rFonts w:ascii="Arial" w:hAnsi="Arial" w:cs="Arial"/>
            <w:color w:val="0000FF"/>
            <w:sz w:val="20"/>
            <w:szCs w:val="20"/>
          </w:rPr>
          <w:t>дополнить</w:t>
        </w:r>
      </w:hyperlink>
      <w:r>
        <w:rPr>
          <w:rFonts w:ascii="Arial" w:hAnsi="Arial" w:cs="Arial"/>
          <w:sz w:val="20"/>
          <w:szCs w:val="20"/>
        </w:rPr>
        <w:t xml:space="preserve"> подпунктом "з" следующего содержания: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"з) порядок взаимодействия сетевой организации, к объектам электросетевого хозяйства которой технологически присоединены энергопринимающие устройства потребителя электрической энергии и (или) которая имеет техническую возможность осуществлять в соответствии с </w:t>
      </w:r>
      <w:hyperlink w:anchor="Par3675" w:history="1">
        <w:r>
          <w:rPr>
            <w:rFonts w:ascii="Arial" w:hAnsi="Arial" w:cs="Arial"/>
            <w:color w:val="0000FF"/>
            <w:sz w:val="20"/>
            <w:szCs w:val="20"/>
          </w:rPr>
          <w:t>Правилами</w:t>
        </w:r>
      </w:hyperlink>
      <w:r>
        <w:rPr>
          <w:rFonts w:ascii="Arial" w:hAnsi="Arial" w:cs="Arial"/>
          <w:sz w:val="20"/>
          <w:szCs w:val="20"/>
        </w:rPr>
        <w:t xml:space="preserve"> полного и (или) частичного ограничения режима потребления электрической энергии действия по введению полного и (или) частичного ограничения режима потребления электрической энергии в отношении такого потребителя, с сетевой организацией, имеющей договор в отношении энергопринимающих устройств этого потребителя, в процессе введения полного и (или) частичного ограничения режима потребления электрической энергии в отношении такого потребителя электрической энергии, а также ответственность за нарушение указанного порядка.";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32" w:history="1">
        <w:r>
          <w:rPr>
            <w:rFonts w:ascii="Arial" w:hAnsi="Arial" w:cs="Arial"/>
            <w:color w:val="0000FF"/>
            <w:sz w:val="20"/>
            <w:szCs w:val="20"/>
          </w:rPr>
          <w:t>абзаце первом пункта 39</w:t>
        </w:r>
      </w:hyperlink>
      <w:r>
        <w:rPr>
          <w:rFonts w:ascii="Arial" w:hAnsi="Arial" w:cs="Arial"/>
          <w:sz w:val="20"/>
          <w:szCs w:val="20"/>
        </w:rPr>
        <w:t xml:space="preserve"> слово "могут" заменить словом "должны";</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33" w:history="1">
        <w:r>
          <w:rPr>
            <w:rFonts w:ascii="Arial" w:hAnsi="Arial" w:cs="Arial"/>
            <w:color w:val="0000FF"/>
            <w:sz w:val="20"/>
            <w:szCs w:val="20"/>
          </w:rPr>
          <w:t>подпункте "в" пункта 41</w:t>
        </w:r>
      </w:hyperlink>
      <w:r>
        <w:rPr>
          <w:rFonts w:ascii="Arial" w:hAnsi="Arial" w:cs="Arial"/>
          <w:sz w:val="20"/>
          <w:szCs w:val="20"/>
        </w:rPr>
        <w:t xml:space="preserve"> слова "предыдущего периода регулирования" заменить словами "предыдущего расчетного периода регулирования";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34" w:history="1">
        <w:r>
          <w:rPr>
            <w:rFonts w:ascii="Arial" w:hAnsi="Arial" w:cs="Arial"/>
            <w:color w:val="0000FF"/>
            <w:sz w:val="20"/>
            <w:szCs w:val="20"/>
          </w:rPr>
          <w:t>пункте 43</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35" w:history="1">
        <w:r>
          <w:rPr>
            <w:rFonts w:ascii="Arial" w:hAnsi="Arial" w:cs="Arial"/>
            <w:color w:val="0000FF"/>
            <w:sz w:val="20"/>
            <w:szCs w:val="20"/>
          </w:rPr>
          <w:t>абзаце первом</w:t>
        </w:r>
      </w:hyperlink>
      <w:r>
        <w:rPr>
          <w:rFonts w:ascii="Arial" w:hAnsi="Arial" w:cs="Arial"/>
          <w:sz w:val="20"/>
          <w:szCs w:val="20"/>
        </w:rPr>
        <w:t xml:space="preserve"> слова "присоединенной мощности" заменить словами "максимальной мощности", слова "должны соответствовать техническим регламентам и иным обязательным требованиям" заменить словами "должны соответствовать требованиям технических регламентов и иным обязательным требованиям, установленным иными нормативными актами";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36" w:history="1">
        <w:r>
          <w:rPr>
            <w:rFonts w:ascii="Arial" w:hAnsi="Arial" w:cs="Arial"/>
            <w:color w:val="0000FF"/>
            <w:sz w:val="20"/>
            <w:szCs w:val="20"/>
          </w:rPr>
          <w:t>абзаце втором</w:t>
        </w:r>
      </w:hyperlink>
      <w:r>
        <w:rPr>
          <w:rFonts w:ascii="Arial" w:hAnsi="Arial" w:cs="Arial"/>
          <w:sz w:val="20"/>
          <w:szCs w:val="20"/>
        </w:rPr>
        <w:t xml:space="preserve"> слова "в случае возникновения аварийной ситуации и (или) вывода объектов электроэнергетики в ремонт или из эксплуатации" заменить словами "в соответствии с </w:t>
      </w:r>
      <w:hyperlink w:anchor="Par3675" w:history="1">
        <w:r>
          <w:rPr>
            <w:rFonts w:ascii="Arial" w:hAnsi="Arial" w:cs="Arial"/>
            <w:color w:val="0000FF"/>
            <w:sz w:val="20"/>
            <w:szCs w:val="20"/>
          </w:rPr>
          <w:t>Правилами</w:t>
        </w:r>
      </w:hyperlink>
      <w:r>
        <w:rPr>
          <w:rFonts w:ascii="Arial" w:hAnsi="Arial" w:cs="Arial"/>
          <w:sz w:val="20"/>
          <w:szCs w:val="20"/>
        </w:rPr>
        <w:t xml:space="preserve"> полного и (или) частичного ограничения режима потребления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337" w:history="1">
        <w:r>
          <w:rPr>
            <w:rFonts w:ascii="Arial" w:hAnsi="Arial" w:cs="Arial"/>
            <w:color w:val="0000FF"/>
            <w:sz w:val="20"/>
            <w:szCs w:val="20"/>
          </w:rPr>
          <w:t>пункт 47</w:t>
        </w:r>
      </w:hyperlink>
      <w:r>
        <w:rPr>
          <w:rFonts w:ascii="Arial" w:hAnsi="Arial" w:cs="Arial"/>
          <w:sz w:val="20"/>
          <w:szCs w:val="20"/>
        </w:rPr>
        <w:t xml:space="preserve"> изложить в следующей редакции: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"47. Лицо, владеющее на праве собственности или на ином законном основании энергопринимающими устройствами и (или) объектами электроэнергетики, технологически присоединенными в установленном порядке к электрической сети (в том числе опосредованно), субъект оптового рынка электрической энергии, осуществляющий экспорт (импорт) электрической энергии, заключившие договор с сетевой организацией, а также гарантирующий поставщик, энергосбытовая организация в отношении обслуживаемых по договору энергоснабжения потребителей электрической энергии обязаны не менее чем за 8 месяцев до наступления очередного расчетного периода регулирования уведомить сетевую организацию об объеме услуг по передаче электрической энергии, планируемом к потреблению в предстоящем расчетном периоде регулирования, в том числе о величине заявленной мощности, которая не может превышать максимальную мощность, определенную в договоре. При этом потребитель услуг, заключивший договор с организацией по управлению единой национальной (общероссийской) электрической сетью, за исключением территориальных сетевых организаций, определяет величину заявленной мощности как предельную величину планируемой к потреблению в предстоящем расчетном периоде регулирования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Планируемый к потреблению объем услуг, в том числе заявленная мощность, может быть использован в целях установления тарифов на услуги по передаче электрической энергии и не применяется для целей определения обязательств потребителя услуг по договору об оказании услуг по передаче электрической энергии (потребителя электрической энергии), если иное не установлено пунктом 15(1) настоящих Правил.";</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38" w:history="1">
        <w:r>
          <w:rPr>
            <w:rFonts w:ascii="Arial" w:hAnsi="Arial" w:cs="Arial"/>
            <w:color w:val="0000FF"/>
            <w:sz w:val="20"/>
            <w:szCs w:val="20"/>
          </w:rPr>
          <w:t>пункте 48</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слова "Основами ценообразования в отношении электрической и тепловой энергии в Российской Федерации и Правилами государственного регулирования и применения тарифов на электрическую и тепловую энергию в Российской Федерации, утвержденными постановлением Правительства Российской Федерации от 26 февраля 2004 г. N 109" заменить словами "</w:t>
      </w:r>
      <w:hyperlink r:id="rId1339" w:history="1">
        <w:r>
          <w:rPr>
            <w:rFonts w:ascii="Arial" w:hAnsi="Arial" w:cs="Arial"/>
            <w:color w:val="0000FF"/>
            <w:sz w:val="20"/>
            <w:szCs w:val="20"/>
          </w:rPr>
          <w:t>Основами</w:t>
        </w:r>
      </w:hyperlink>
      <w:r>
        <w:rPr>
          <w:rFonts w:ascii="Arial" w:hAnsi="Arial" w:cs="Arial"/>
          <w:sz w:val="20"/>
          <w:szCs w:val="20"/>
        </w:rPr>
        <w:t xml:space="preserve"> ценообразования в области регулируемых цен (тарифов) в электроэнергетике и Правилами государственного регулирования (пересмотра, применения) цен (тарифов) в электроэнергетике";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340" w:history="1">
        <w:r>
          <w:rPr>
            <w:rFonts w:ascii="Arial" w:hAnsi="Arial" w:cs="Arial"/>
            <w:color w:val="0000FF"/>
            <w:sz w:val="20"/>
            <w:szCs w:val="20"/>
          </w:rPr>
          <w:t>абзац второй</w:t>
        </w:r>
      </w:hyperlink>
      <w:r>
        <w:rPr>
          <w:rFonts w:ascii="Arial" w:hAnsi="Arial" w:cs="Arial"/>
          <w:sz w:val="20"/>
          <w:szCs w:val="20"/>
        </w:rPr>
        <w:t xml:space="preserve"> признать утратившим силу;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б) в </w:t>
      </w:r>
      <w:hyperlink r:id="rId1341" w:history="1">
        <w:r>
          <w:rPr>
            <w:rFonts w:ascii="Arial" w:hAnsi="Arial" w:cs="Arial"/>
            <w:color w:val="0000FF"/>
            <w:sz w:val="20"/>
            <w:szCs w:val="20"/>
          </w:rPr>
          <w:t>Правилах</w:t>
        </w:r>
      </w:hyperlink>
      <w:r>
        <w:rPr>
          <w:rFonts w:ascii="Arial" w:hAnsi="Arial" w:cs="Arial"/>
          <w:sz w:val="20"/>
          <w:szCs w:val="20"/>
        </w:rP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указанным постановлением: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42" w:history="1">
        <w:r>
          <w:rPr>
            <w:rFonts w:ascii="Arial" w:hAnsi="Arial" w:cs="Arial"/>
            <w:color w:val="0000FF"/>
            <w:sz w:val="20"/>
            <w:szCs w:val="20"/>
          </w:rPr>
          <w:t>пунктах 1</w:t>
        </w:r>
      </w:hyperlink>
      <w:r>
        <w:rPr>
          <w:rFonts w:ascii="Arial" w:hAnsi="Arial" w:cs="Arial"/>
          <w:sz w:val="20"/>
          <w:szCs w:val="20"/>
        </w:rPr>
        <w:t xml:space="preserve"> и </w:t>
      </w:r>
      <w:hyperlink r:id="rId1343" w:history="1">
        <w:r>
          <w:rPr>
            <w:rFonts w:ascii="Arial" w:hAnsi="Arial" w:cs="Arial"/>
            <w:color w:val="0000FF"/>
            <w:sz w:val="20"/>
            <w:szCs w:val="20"/>
          </w:rPr>
          <w:t>2</w:t>
        </w:r>
      </w:hyperlink>
      <w:r>
        <w:rPr>
          <w:rFonts w:ascii="Arial" w:hAnsi="Arial" w:cs="Arial"/>
          <w:sz w:val="20"/>
          <w:szCs w:val="20"/>
        </w:rPr>
        <w:t xml:space="preserve"> слова "присоединенная мощность" в соответствующем падеже заменить словами "максимальная мощность" в соответствующем падеже;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44" w:history="1">
        <w:r>
          <w:rPr>
            <w:rFonts w:ascii="Arial" w:hAnsi="Arial" w:cs="Arial"/>
            <w:color w:val="0000FF"/>
            <w:sz w:val="20"/>
            <w:szCs w:val="20"/>
          </w:rPr>
          <w:t>пункте 7</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45" w:history="1">
        <w:r>
          <w:rPr>
            <w:rFonts w:ascii="Arial" w:hAnsi="Arial" w:cs="Arial"/>
            <w:color w:val="0000FF"/>
            <w:sz w:val="20"/>
            <w:szCs w:val="20"/>
          </w:rPr>
          <w:t>подпункте "а"</w:t>
        </w:r>
      </w:hyperlink>
      <w:r>
        <w:rPr>
          <w:rFonts w:ascii="Arial" w:hAnsi="Arial" w:cs="Arial"/>
          <w:sz w:val="20"/>
          <w:szCs w:val="20"/>
        </w:rPr>
        <w:t xml:space="preserve"> слова "объема присоединенной мощности" заменить словами "объема максимальной мощности", слова "величины присоединенной мощности" заменить словами "величины максимальной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46" w:history="1">
        <w:r>
          <w:rPr>
            <w:rFonts w:ascii="Arial" w:hAnsi="Arial" w:cs="Arial"/>
            <w:color w:val="0000FF"/>
            <w:sz w:val="20"/>
            <w:szCs w:val="20"/>
          </w:rPr>
          <w:t>подпункте "д"</w:t>
        </w:r>
      </w:hyperlink>
      <w:r>
        <w:rPr>
          <w:rFonts w:ascii="Arial" w:hAnsi="Arial" w:cs="Arial"/>
          <w:sz w:val="20"/>
          <w:szCs w:val="20"/>
        </w:rPr>
        <w:t xml:space="preserve"> слова "и акта разграничения балансовой принадлежности и эксплуатационной ответственности" заменить словами ", акта разграничения балансовой принадлежности, акта разграничения эксплуатационной ответственности сторон, а также акта согласования технологической и (или) аварийной брони (для заявителей, указанных в пункте 14(2) настоящих Правил)";</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47" w:history="1">
        <w:r>
          <w:rPr>
            <w:rFonts w:ascii="Arial" w:hAnsi="Arial" w:cs="Arial"/>
            <w:color w:val="0000FF"/>
            <w:sz w:val="20"/>
            <w:szCs w:val="20"/>
          </w:rPr>
          <w:t>пункте 9</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48" w:history="1">
        <w:r>
          <w:rPr>
            <w:rFonts w:ascii="Arial" w:hAnsi="Arial" w:cs="Arial"/>
            <w:color w:val="0000FF"/>
            <w:sz w:val="20"/>
            <w:szCs w:val="20"/>
          </w:rPr>
          <w:t>подпункте "г"</w:t>
        </w:r>
      </w:hyperlink>
      <w:r>
        <w:rPr>
          <w:rFonts w:ascii="Arial" w:hAnsi="Arial" w:cs="Arial"/>
          <w:sz w:val="20"/>
          <w:szCs w:val="20"/>
        </w:rPr>
        <w:t xml:space="preserve"> слова "максимальная мощность" заменить словами "запрашиваемая максимальная мощность";</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349" w:history="1">
        <w:r>
          <w:rPr>
            <w:rFonts w:ascii="Arial" w:hAnsi="Arial" w:cs="Arial"/>
            <w:color w:val="0000FF"/>
            <w:sz w:val="20"/>
            <w:szCs w:val="20"/>
          </w:rPr>
          <w:t>дополнить</w:t>
        </w:r>
      </w:hyperlink>
      <w:r>
        <w:rPr>
          <w:rFonts w:ascii="Arial" w:hAnsi="Arial" w:cs="Arial"/>
          <w:sz w:val="20"/>
          <w:szCs w:val="20"/>
        </w:rPr>
        <w:t xml:space="preserve"> подпунктом "з(1)" следующего содержания: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"з(1)) необходимость наличия технологической и (или) аварийной брони, определяемой в соответствии с требованиями пункта 14(2) настоящих Правил;";</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в </w:t>
      </w:r>
      <w:hyperlink r:id="rId1350" w:history="1">
        <w:r>
          <w:rPr>
            <w:rFonts w:ascii="Arial" w:hAnsi="Arial" w:cs="Arial"/>
            <w:color w:val="0000FF"/>
            <w:sz w:val="20"/>
            <w:szCs w:val="20"/>
          </w:rPr>
          <w:t>подпункте "к"</w:t>
        </w:r>
      </w:hyperlink>
      <w:r>
        <w:rPr>
          <w:rFonts w:ascii="Arial" w:hAnsi="Arial" w:cs="Arial"/>
          <w:sz w:val="20"/>
          <w:szCs w:val="20"/>
        </w:rPr>
        <w:t xml:space="preserve"> слова "поэтапное распределение мощности" заменить словами "планируемое распределение максимальной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51" w:history="1">
        <w:r>
          <w:rPr>
            <w:rFonts w:ascii="Arial" w:hAnsi="Arial" w:cs="Arial"/>
            <w:color w:val="0000FF"/>
            <w:sz w:val="20"/>
            <w:szCs w:val="20"/>
          </w:rPr>
          <w:t>пункте 12</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52" w:history="1">
        <w:r>
          <w:rPr>
            <w:rFonts w:ascii="Arial" w:hAnsi="Arial" w:cs="Arial"/>
            <w:color w:val="0000FF"/>
            <w:sz w:val="20"/>
            <w:szCs w:val="20"/>
          </w:rPr>
          <w:t>абзаце первом</w:t>
        </w:r>
      </w:hyperlink>
      <w:r>
        <w:rPr>
          <w:rFonts w:ascii="Arial" w:hAnsi="Arial" w:cs="Arial"/>
          <w:sz w:val="20"/>
          <w:szCs w:val="20"/>
        </w:rPr>
        <w:t xml:space="preserve"> слова "суммарная присоединенная мощность" заменить словами "максимальная мощность", слова "не превышает 750 кВА" заменить словами "составляет свыше 100 кВт и менее 670 кВт";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53" w:history="1">
        <w:r>
          <w:rPr>
            <w:rFonts w:ascii="Arial" w:hAnsi="Arial" w:cs="Arial"/>
            <w:color w:val="0000FF"/>
            <w:sz w:val="20"/>
            <w:szCs w:val="20"/>
          </w:rPr>
          <w:t>подпункте "б"</w:t>
        </w:r>
      </w:hyperlink>
      <w:r>
        <w:rPr>
          <w:rFonts w:ascii="Arial" w:hAnsi="Arial" w:cs="Arial"/>
          <w:sz w:val="20"/>
          <w:szCs w:val="20"/>
        </w:rPr>
        <w:t xml:space="preserve"> слова "максимальная мощность" заменить словами "запрашиваемая максимальная мощность";</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54" w:history="1">
        <w:r>
          <w:rPr>
            <w:rFonts w:ascii="Arial" w:hAnsi="Arial" w:cs="Arial"/>
            <w:color w:val="0000FF"/>
            <w:sz w:val="20"/>
            <w:szCs w:val="20"/>
          </w:rPr>
          <w:t>пункте 12(1)</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55" w:history="1">
        <w:r>
          <w:rPr>
            <w:rFonts w:ascii="Arial" w:hAnsi="Arial" w:cs="Arial"/>
            <w:color w:val="0000FF"/>
            <w:sz w:val="20"/>
            <w:szCs w:val="20"/>
          </w:rPr>
          <w:t>абзаце первом</w:t>
        </w:r>
      </w:hyperlink>
      <w:r>
        <w:rPr>
          <w:rFonts w:ascii="Arial" w:hAnsi="Arial" w:cs="Arial"/>
          <w:sz w:val="20"/>
          <w:szCs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56" w:history="1">
        <w:r>
          <w:rPr>
            <w:rFonts w:ascii="Arial" w:hAnsi="Arial" w:cs="Arial"/>
            <w:color w:val="0000FF"/>
            <w:sz w:val="20"/>
            <w:szCs w:val="20"/>
          </w:rPr>
          <w:t>подпункте "б"</w:t>
        </w:r>
      </w:hyperlink>
      <w:r>
        <w:rPr>
          <w:rFonts w:ascii="Arial" w:hAnsi="Arial" w:cs="Arial"/>
          <w:sz w:val="20"/>
          <w:szCs w:val="20"/>
        </w:rPr>
        <w:t xml:space="preserve"> слова "максимальная мощность" заменить словами "запрашиваемая максимальная мощность";</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57" w:history="1">
        <w:r>
          <w:rPr>
            <w:rFonts w:ascii="Arial" w:hAnsi="Arial" w:cs="Arial"/>
            <w:color w:val="0000FF"/>
            <w:sz w:val="20"/>
            <w:szCs w:val="20"/>
          </w:rPr>
          <w:t>пункте 13</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58" w:history="1">
        <w:r>
          <w:rPr>
            <w:rFonts w:ascii="Arial" w:hAnsi="Arial" w:cs="Arial"/>
            <w:color w:val="0000FF"/>
            <w:sz w:val="20"/>
            <w:szCs w:val="20"/>
          </w:rPr>
          <w:t>абзаце первом</w:t>
        </w:r>
      </w:hyperlink>
      <w:r>
        <w:rPr>
          <w:rFonts w:ascii="Arial" w:hAnsi="Arial" w:cs="Arial"/>
          <w:sz w:val="20"/>
          <w:szCs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59" w:history="1">
        <w:r>
          <w:rPr>
            <w:rFonts w:ascii="Arial" w:hAnsi="Arial" w:cs="Arial"/>
            <w:color w:val="0000FF"/>
            <w:sz w:val="20"/>
            <w:szCs w:val="20"/>
          </w:rPr>
          <w:t>абзаце третьем</w:t>
        </w:r>
      </w:hyperlink>
      <w:r>
        <w:rPr>
          <w:rFonts w:ascii="Arial" w:hAnsi="Arial" w:cs="Arial"/>
          <w:sz w:val="20"/>
          <w:szCs w:val="20"/>
        </w:rPr>
        <w:t xml:space="preserve"> слова "максимальная мощность" заменить словами "запрашиваемая максимальная мощность";</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60" w:history="1">
        <w:r>
          <w:rPr>
            <w:rFonts w:ascii="Arial" w:hAnsi="Arial" w:cs="Arial"/>
            <w:color w:val="0000FF"/>
            <w:sz w:val="20"/>
            <w:szCs w:val="20"/>
          </w:rPr>
          <w:t>пункте 14</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61" w:history="1">
        <w:r>
          <w:rPr>
            <w:rFonts w:ascii="Arial" w:hAnsi="Arial" w:cs="Arial"/>
            <w:color w:val="0000FF"/>
            <w:sz w:val="20"/>
            <w:szCs w:val="20"/>
          </w:rPr>
          <w:t>абзаце первом</w:t>
        </w:r>
      </w:hyperlink>
      <w:r>
        <w:rPr>
          <w:rFonts w:ascii="Arial" w:hAnsi="Arial" w:cs="Arial"/>
          <w:sz w:val="20"/>
          <w:szCs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62" w:history="1">
        <w:r>
          <w:rPr>
            <w:rFonts w:ascii="Arial" w:hAnsi="Arial" w:cs="Arial"/>
            <w:color w:val="0000FF"/>
            <w:sz w:val="20"/>
            <w:szCs w:val="20"/>
          </w:rPr>
          <w:t>подпункте "г"</w:t>
        </w:r>
      </w:hyperlink>
      <w:r>
        <w:rPr>
          <w:rFonts w:ascii="Arial" w:hAnsi="Arial" w:cs="Arial"/>
          <w:sz w:val="20"/>
          <w:szCs w:val="20"/>
        </w:rPr>
        <w:t xml:space="preserve"> слова "максимальная мощность" заменить словами "запрашиваемая максимальная мощность";</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363" w:history="1">
        <w:r>
          <w:rPr>
            <w:rFonts w:ascii="Arial" w:hAnsi="Arial" w:cs="Arial"/>
            <w:color w:val="0000FF"/>
            <w:sz w:val="20"/>
            <w:szCs w:val="20"/>
          </w:rPr>
          <w:t>дополнить</w:t>
        </w:r>
      </w:hyperlink>
      <w:r>
        <w:rPr>
          <w:rFonts w:ascii="Arial" w:hAnsi="Arial" w:cs="Arial"/>
          <w:sz w:val="20"/>
          <w:szCs w:val="20"/>
        </w:rPr>
        <w:t xml:space="preserve"> пунктами 14(1) и 14(2) следующего содержания: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"14(1). Технологическое присоединение энергопринимающих устройств в целях обеспечения надежного их энергоснабжения и качества электрической энергии может быть осуществлено по одной из трех категорий надежности. Отнесение энергопринимающих устройств заявителя (потребителя электрической энергии) к определенной категории надежности осуществляется заявителем самостоятельно.</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Отнесение энергопринимающих устройств к первой категории надежности осуществляется в случае, если необходимо обеспечить беспрерывный режим работы энергопринимающих устройств, перерыв снабжения электрической энергией которых может повлечь за собой угрозу жизни и здоровью людей, угрозу безопасности государства, значительный материальный ущерб. В составе первой категории надежности выделяется особая категория энергопринимающих устройств, бесперебойная работа которых необходима для безаварийной остановки производства с целью предотвращения угрозы жизни людей, взрывов и пожаров.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Отнесение энергопринимающих устройств ко второй категории надежности осуществляется в случае, если необходимо обеспечить надежное функционирование энергопринимающих устройств, перерыв снабжения электрической энергией которых приводит к недопустимым нарушениям технологических процессов производства.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Энергопринимающие устройства, не отнесенные к первой или второй категориям надежности, относятся к третьей категории надежности.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Для энергопринимающих устройств, отнесенных к первой и второй категориям надежности, должно быть обеспечено наличие независимых резервных источников снабжения электрической энергией. Дополнительно для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людей, экологической безопасности либо безопасности государства, должно быть обеспечено наличие автономного резервного источника питания.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Автономные резервные источники питания в случае, если их наличие предусмотрено техническими условиями, подлежат установке владельцем энергопринимающих устройств и технологическому присоединению в порядке, предусмотренном настоящими Правилами. Владелец энергопринимающих устройств обязан поддерживать установленные автономные резервные источники питания в состоянии готовности к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14(2). При осуществлении технологического присоединения к объектам электросетевого хозяйства энергопринимающих устройств заявителей, ограничение режима потребления электрической энергии (мощности) которых может привести к экономическим, экологическим, социальным последствиям и категории которых определены в </w:t>
      </w:r>
      <w:hyperlink w:anchor="Par4183" w:history="1">
        <w:r>
          <w:rPr>
            <w:rFonts w:ascii="Arial" w:hAnsi="Arial" w:cs="Arial"/>
            <w:color w:val="0000FF"/>
            <w:sz w:val="20"/>
            <w:szCs w:val="20"/>
          </w:rPr>
          <w:t>приложении</w:t>
        </w:r>
      </w:hyperlink>
      <w:r>
        <w:rPr>
          <w:rFonts w:ascii="Arial" w:hAnsi="Arial" w:cs="Arial"/>
          <w:sz w:val="20"/>
          <w:szCs w:val="20"/>
        </w:rPr>
        <w:t xml:space="preserve"> к Правилам полного и (или) частичного ограничения режима потребления электрической энергии, составление акта согласования технологической и (или) аварийной брони является обязательным.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осуществлении технологического присоединения к объектам электросетевого хозяйства энергопринимающих устройств иных заявителей, ограничение режима потребления электрической энергии (мощности) которых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технологических процессов, используемых в производственном цикле, акт согласования технологической и (или) аварийной брони составляется в случае, если в заявке, подаваемой таким заявителем в соответствии с пунктом 9 настоящих Правил, указано о необходимости наличия технологической и (или) аварийной брони.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Аварийная и (или) технологическая броня определяется на основании содержащейся в проектной документации схемы электроснабжения энергопринимающих устройств заявителя.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Проект акта согласования технологической и (или) аварийной брони составляется заявителем в 2 экземплярах и направляется в сетевую организацию. Сетевая организация в течение 10 рабочих дней со дня получения от заявителя проекта акта согласования технологической и (или) аварийной брони обязана рассмотреть его, подписать и направить 1 экземпляр акта заявителю.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несогласия сетевой организации с представленным заявителем проектом акта согласования технологической и (или) аварийной брони такой проект акта подписывается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подписан сетевой организацией с замечаниями к величине технологической и (или) аварийной брони, то в качестве согласованной величины технологической и (или) аварийной брони принимается величина, указанная в замечаниях сетевой организации.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Величина технологической и (или) аварийной брони и требования к энергопринимающим устройствам, подключенным к токоприемникам технологической и (или) аварийной брони, определяются в соответствии с </w:t>
      </w:r>
      <w:hyperlink r:id="rId1364" w:history="1">
        <w:r>
          <w:rPr>
            <w:rFonts w:ascii="Arial" w:hAnsi="Arial" w:cs="Arial"/>
            <w:color w:val="0000FF"/>
            <w:sz w:val="20"/>
            <w:szCs w:val="20"/>
          </w:rPr>
          <w:t>правилами</w:t>
        </w:r>
      </w:hyperlink>
      <w:r>
        <w:rPr>
          <w:rFonts w:ascii="Arial" w:hAnsi="Arial" w:cs="Arial"/>
          <w:sz w:val="20"/>
          <w:szCs w:val="20"/>
        </w:rPr>
        <w:t xml:space="preserve">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утверждаемыми Министерством энергетики Российской Федерации.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Акт согласования технологической и (или) аварийной брони содержит перечень энергопринимающих устройств, подключенных к токоприемникам технологической брони, величину технологической брони, сроки и объемы сокращения электроснабжения до уровня аварийной брони (при ее наличии) либо до полного ограничения и (или) перечень энергопринимающих устройств, подключенных к токоприемникам аварийной брони, величину аварийной брони и сроки и объемы сокращения электроснабжения до полного ограничения (за исключением случаев, когда сокращение электроснабжения не может быть осуществлено ниже уровня аварийной брони).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Отсутствие подписанного сторонами акта согласования технологической и (или) аварийной брони не является основанием для невыполнения сетевой организацией своих обязательств по договору об </w:t>
      </w:r>
      <w:r>
        <w:rPr>
          <w:rFonts w:ascii="Arial" w:hAnsi="Arial" w:cs="Arial"/>
          <w:sz w:val="20"/>
          <w:szCs w:val="20"/>
        </w:rPr>
        <w:lastRenderedPageBreak/>
        <w:t>осуществлении технологического присоединения к электрическим сетям и (или) для отказа в подписании документов о технологическом присоединении.";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65" w:history="1">
        <w:r>
          <w:rPr>
            <w:rFonts w:ascii="Arial" w:hAnsi="Arial" w:cs="Arial"/>
            <w:color w:val="0000FF"/>
            <w:sz w:val="20"/>
            <w:szCs w:val="20"/>
          </w:rPr>
          <w:t>пункте 15</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абзац утратил силу с 1 июля 2020 года. - </w:t>
      </w:r>
      <w:hyperlink r:id="rId1366" w:history="1">
        <w:r>
          <w:rPr>
            <w:rFonts w:ascii="Arial" w:hAnsi="Arial" w:cs="Arial"/>
            <w:color w:val="0000FF"/>
            <w:sz w:val="20"/>
            <w:szCs w:val="20"/>
          </w:rPr>
          <w:t>Постановление</w:t>
        </w:r>
      </w:hyperlink>
      <w:r>
        <w:rPr>
          <w:rFonts w:ascii="Arial" w:hAnsi="Arial" w:cs="Arial"/>
          <w:sz w:val="20"/>
          <w:szCs w:val="20"/>
        </w:rPr>
        <w:t xml:space="preserve"> Правительства РФ от 10.03.2020 N 262;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67" w:history="1">
        <w:r>
          <w:rPr>
            <w:rFonts w:ascii="Arial" w:hAnsi="Arial" w:cs="Arial"/>
            <w:color w:val="0000FF"/>
            <w:sz w:val="20"/>
            <w:szCs w:val="20"/>
          </w:rPr>
          <w:t>абзаце пятом</w:t>
        </w:r>
      </w:hyperlink>
      <w:r>
        <w:rPr>
          <w:rFonts w:ascii="Arial" w:hAnsi="Arial" w:cs="Arial"/>
          <w:sz w:val="20"/>
          <w:szCs w:val="20"/>
        </w:rPr>
        <w:t xml:space="preserve"> слова "суммарная присоединенная мощность которых не превышает 750 кВА" заменить словами "максимальная мощность которых составляет свыше 100 кВт и менее 670 кВт";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68" w:history="1">
        <w:r>
          <w:rPr>
            <w:rFonts w:ascii="Arial" w:hAnsi="Arial" w:cs="Arial"/>
            <w:color w:val="0000FF"/>
            <w:sz w:val="20"/>
            <w:szCs w:val="20"/>
          </w:rPr>
          <w:t>абзаце шестом</w:t>
        </w:r>
      </w:hyperlink>
      <w:r>
        <w:rPr>
          <w:rFonts w:ascii="Arial" w:hAnsi="Arial" w:cs="Arial"/>
          <w:sz w:val="20"/>
          <w:szCs w:val="20"/>
        </w:rPr>
        <w:t xml:space="preserve"> слова "присоединяемая мощность которых превышает 750 кВА" заменить словами "максимальная мощность которых составляет не менее 670 кВт";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69" w:history="1">
        <w:r>
          <w:rPr>
            <w:rFonts w:ascii="Arial" w:hAnsi="Arial" w:cs="Arial"/>
            <w:color w:val="0000FF"/>
            <w:sz w:val="20"/>
            <w:szCs w:val="20"/>
          </w:rPr>
          <w:t>пункте 16</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70" w:history="1">
        <w:r>
          <w:rPr>
            <w:rFonts w:ascii="Arial" w:hAnsi="Arial" w:cs="Arial"/>
            <w:color w:val="0000FF"/>
            <w:sz w:val="20"/>
            <w:szCs w:val="20"/>
          </w:rPr>
          <w:t>подпункте "б"</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71" w:history="1">
        <w:r>
          <w:rPr>
            <w:rFonts w:ascii="Arial" w:hAnsi="Arial" w:cs="Arial"/>
            <w:color w:val="0000FF"/>
            <w:sz w:val="20"/>
            <w:szCs w:val="20"/>
          </w:rPr>
          <w:t>абзаце четвертом</w:t>
        </w:r>
      </w:hyperlink>
      <w:r>
        <w:rPr>
          <w:rFonts w:ascii="Arial" w:hAnsi="Arial" w:cs="Arial"/>
          <w:sz w:val="20"/>
          <w:szCs w:val="20"/>
        </w:rP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составляет менее 670 кВт";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72" w:history="1">
        <w:r>
          <w:rPr>
            <w:rFonts w:ascii="Arial" w:hAnsi="Arial" w:cs="Arial"/>
            <w:color w:val="0000FF"/>
            <w:sz w:val="20"/>
            <w:szCs w:val="20"/>
          </w:rPr>
          <w:t>абзаце пятом</w:t>
        </w:r>
      </w:hyperlink>
      <w:r>
        <w:rPr>
          <w:rFonts w:ascii="Arial" w:hAnsi="Arial" w:cs="Arial"/>
          <w:sz w:val="20"/>
          <w:szCs w:val="20"/>
        </w:rPr>
        <w:t xml:space="preserve"> слова "суммарная присоединенная мощность энергопринимающих устройств которых превышает 750 кВА" заменить словами "максимальная мощность энергопринимающих устройств которых составляет не менее 670 кВт";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373" w:history="1">
        <w:r>
          <w:rPr>
            <w:rFonts w:ascii="Arial" w:hAnsi="Arial" w:cs="Arial"/>
            <w:color w:val="0000FF"/>
            <w:sz w:val="20"/>
            <w:szCs w:val="20"/>
          </w:rPr>
          <w:t>подпункт "ж"</w:t>
        </w:r>
      </w:hyperlink>
      <w:r>
        <w:rPr>
          <w:rFonts w:ascii="Arial" w:hAnsi="Arial" w:cs="Arial"/>
          <w:sz w:val="20"/>
          <w:szCs w:val="20"/>
        </w:rPr>
        <w:t xml:space="preserve"> признать утратившим силу;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74" w:history="1">
        <w:r>
          <w:rPr>
            <w:rFonts w:ascii="Arial" w:hAnsi="Arial" w:cs="Arial"/>
            <w:color w:val="0000FF"/>
            <w:sz w:val="20"/>
            <w:szCs w:val="20"/>
          </w:rPr>
          <w:t>пункте 16(2)</w:t>
        </w:r>
      </w:hyperlink>
      <w:r>
        <w:rPr>
          <w:rFonts w:ascii="Arial" w:hAnsi="Arial" w:cs="Arial"/>
          <w:sz w:val="20"/>
          <w:szCs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75" w:history="1">
        <w:r>
          <w:rPr>
            <w:rFonts w:ascii="Arial" w:hAnsi="Arial" w:cs="Arial"/>
            <w:color w:val="0000FF"/>
            <w:sz w:val="20"/>
            <w:szCs w:val="20"/>
          </w:rPr>
          <w:t>пункте 16(4)</w:t>
        </w:r>
      </w:hyperlink>
      <w:r>
        <w:rPr>
          <w:rFonts w:ascii="Arial" w:hAnsi="Arial" w:cs="Arial"/>
          <w:sz w:val="20"/>
          <w:szCs w:val="20"/>
        </w:rP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составляет менее 670 кВт";</w:t>
      </w:r>
    </w:p>
    <w:p w:rsidR="009F5AFE" w:rsidRDefault="009F5AFE" w:rsidP="009F5AFE">
      <w:pPr>
        <w:autoSpaceDE w:val="0"/>
        <w:autoSpaceDN w:val="0"/>
        <w:adjustRightInd w:val="0"/>
        <w:spacing w:after="0" w:line="240" w:lineRule="auto"/>
        <w:rPr>
          <w:rFonts w:ascii="Arial" w:hAnsi="Arial" w:cs="Arial"/>
          <w:sz w:val="24"/>
          <w:szCs w:val="24"/>
        </w:rPr>
      </w:pPr>
    </w:p>
    <w:tbl>
      <w:tblPr>
        <w:tblW w:w="5000" w:type="pct"/>
        <w:jc w:val="center"/>
        <w:tblLayout w:type="fixed"/>
        <w:tblCellMar>
          <w:top w:w="113" w:type="dxa"/>
          <w:left w:w="113" w:type="dxa"/>
          <w:bottom w:w="113" w:type="dxa"/>
          <w:right w:w="113" w:type="dxa"/>
        </w:tblCellMar>
        <w:tblLook w:val="0000" w:firstRow="0" w:lastRow="0" w:firstColumn="0" w:lastColumn="0" w:noHBand="0" w:noVBand="0"/>
      </w:tblPr>
      <w:tblGrid>
        <w:gridCol w:w="10433"/>
      </w:tblGrid>
      <w:tr w:rsidR="009F5AFE">
        <w:trPr>
          <w:jc w:val="center"/>
        </w:trPr>
        <w:tc>
          <w:tcPr>
            <w:tcW w:w="5000" w:type="pct"/>
            <w:tcBorders>
              <w:left w:val="single" w:sz="24" w:space="0" w:color="CED3F1"/>
              <w:right w:val="single" w:sz="24" w:space="0" w:color="F4F3F8"/>
            </w:tcBorders>
            <w:shd w:val="clear" w:color="auto" w:fill="F4F3F8"/>
          </w:tcPr>
          <w:p w:rsidR="009F5AFE" w:rsidRDefault="009F5AFE">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КонсультантПлюс: примечание.</w:t>
            </w:r>
          </w:p>
          <w:p w:rsidR="009F5AFE" w:rsidRDefault="009F5AFE">
            <w:pPr>
              <w:autoSpaceDE w:val="0"/>
              <w:autoSpaceDN w:val="0"/>
              <w:adjustRightInd w:val="0"/>
              <w:spacing w:after="0" w:line="240" w:lineRule="auto"/>
              <w:jc w:val="both"/>
              <w:rPr>
                <w:rFonts w:ascii="Arial" w:hAnsi="Arial" w:cs="Arial"/>
                <w:color w:val="392C69"/>
                <w:sz w:val="20"/>
                <w:szCs w:val="20"/>
              </w:rPr>
            </w:pPr>
            <w:r>
              <w:rPr>
                <w:rFonts w:ascii="Arial" w:hAnsi="Arial" w:cs="Arial"/>
                <w:color w:val="392C69"/>
                <w:sz w:val="20"/>
                <w:szCs w:val="20"/>
              </w:rPr>
              <w:t xml:space="preserve">Абз. 49 (в части, касающейся абз. 2 п. 17) с </w:t>
            </w:r>
            <w:hyperlink r:id="rId1376" w:history="1">
              <w:r>
                <w:rPr>
                  <w:rFonts w:ascii="Arial" w:hAnsi="Arial" w:cs="Arial"/>
                  <w:color w:val="0000FF"/>
                  <w:sz w:val="20"/>
                  <w:szCs w:val="20"/>
                </w:rPr>
                <w:t>01.07.2020</w:t>
              </w:r>
            </w:hyperlink>
            <w:r>
              <w:rPr>
                <w:rFonts w:ascii="Arial" w:hAnsi="Arial" w:cs="Arial"/>
                <w:color w:val="392C69"/>
                <w:sz w:val="20"/>
                <w:szCs w:val="20"/>
              </w:rPr>
              <w:t xml:space="preserve"> утратил силу (</w:t>
            </w:r>
            <w:hyperlink r:id="rId1377" w:history="1">
              <w:r>
                <w:rPr>
                  <w:rFonts w:ascii="Arial" w:hAnsi="Arial" w:cs="Arial"/>
                  <w:color w:val="0000FF"/>
                  <w:sz w:val="20"/>
                  <w:szCs w:val="20"/>
                </w:rPr>
                <w:t>Постановление</w:t>
              </w:r>
            </w:hyperlink>
            <w:r>
              <w:rPr>
                <w:rFonts w:ascii="Arial" w:hAnsi="Arial" w:cs="Arial"/>
                <w:color w:val="392C69"/>
                <w:sz w:val="20"/>
                <w:szCs w:val="20"/>
              </w:rPr>
              <w:t xml:space="preserve"> Правительства РФ от 10.03.2020 N 262).</w:t>
            </w:r>
          </w:p>
        </w:tc>
      </w:tr>
    </w:tbl>
    <w:p w:rsidR="009F5AFE" w:rsidRDefault="009F5AFE" w:rsidP="009F5AFE">
      <w:pPr>
        <w:autoSpaceDE w:val="0"/>
        <w:autoSpaceDN w:val="0"/>
        <w:adjustRightInd w:val="0"/>
        <w:spacing w:before="260" w:after="0" w:line="240" w:lineRule="auto"/>
        <w:ind w:firstLine="540"/>
        <w:jc w:val="both"/>
        <w:rPr>
          <w:rFonts w:ascii="Arial" w:hAnsi="Arial" w:cs="Arial"/>
          <w:sz w:val="20"/>
          <w:szCs w:val="20"/>
        </w:rPr>
      </w:pPr>
      <w:r>
        <w:rPr>
          <w:rFonts w:ascii="Arial" w:hAnsi="Arial" w:cs="Arial"/>
          <w:sz w:val="20"/>
          <w:szCs w:val="20"/>
        </w:rPr>
        <w:t xml:space="preserve">в </w:t>
      </w:r>
      <w:hyperlink r:id="rId1378" w:history="1">
        <w:r>
          <w:rPr>
            <w:rFonts w:ascii="Arial" w:hAnsi="Arial" w:cs="Arial"/>
            <w:color w:val="0000FF"/>
            <w:sz w:val="20"/>
            <w:szCs w:val="20"/>
          </w:rPr>
          <w:t>абзацах первом</w:t>
        </w:r>
      </w:hyperlink>
      <w:r>
        <w:rPr>
          <w:rFonts w:ascii="Arial" w:hAnsi="Arial" w:cs="Arial"/>
          <w:sz w:val="20"/>
          <w:szCs w:val="20"/>
        </w:rPr>
        <w:t xml:space="preserve"> и </w:t>
      </w:r>
      <w:hyperlink r:id="rId1379" w:history="1">
        <w:r>
          <w:rPr>
            <w:rFonts w:ascii="Arial" w:hAnsi="Arial" w:cs="Arial"/>
            <w:color w:val="0000FF"/>
            <w:sz w:val="20"/>
            <w:szCs w:val="20"/>
          </w:rPr>
          <w:t>втором пункта 17</w:t>
        </w:r>
      </w:hyperlink>
      <w:r>
        <w:rPr>
          <w:rFonts w:ascii="Arial" w:hAnsi="Arial" w:cs="Arial"/>
          <w:sz w:val="20"/>
          <w:szCs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80" w:history="1">
        <w:r>
          <w:rPr>
            <w:rFonts w:ascii="Arial" w:hAnsi="Arial" w:cs="Arial"/>
            <w:color w:val="0000FF"/>
            <w:sz w:val="20"/>
            <w:szCs w:val="20"/>
          </w:rPr>
          <w:t>абзаце первом пункта 19</w:t>
        </w:r>
      </w:hyperlink>
      <w:r>
        <w:rPr>
          <w:rFonts w:ascii="Arial" w:hAnsi="Arial" w:cs="Arial"/>
          <w:sz w:val="20"/>
          <w:szCs w:val="20"/>
        </w:rPr>
        <w:t xml:space="preserve"> слова "и акт об осуществлении технологического присоединения" заменить словами ", акт об осуществлении технологического присоединения и акт согласования технологической и (или) аварийной брони (для заявителей, указанных в пункте 14(2) настоящих Правил)";</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81" w:history="1">
        <w:r>
          <w:rPr>
            <w:rFonts w:ascii="Arial" w:hAnsi="Arial" w:cs="Arial"/>
            <w:color w:val="0000FF"/>
            <w:sz w:val="20"/>
            <w:szCs w:val="20"/>
          </w:rPr>
          <w:t>пункте 20</w:t>
        </w:r>
      </w:hyperlink>
      <w:r>
        <w:rPr>
          <w:rFonts w:ascii="Arial" w:hAnsi="Arial" w:cs="Arial"/>
          <w:sz w:val="20"/>
          <w:szCs w:val="20"/>
        </w:rPr>
        <w:t xml:space="preserve"> слова "о суммарной мощности" заменить словами "о максимальной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82" w:history="1">
        <w:r>
          <w:rPr>
            <w:rFonts w:ascii="Arial" w:hAnsi="Arial" w:cs="Arial"/>
            <w:color w:val="0000FF"/>
            <w:sz w:val="20"/>
            <w:szCs w:val="20"/>
          </w:rPr>
          <w:t>пункте 21</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83" w:history="1">
        <w:r>
          <w:rPr>
            <w:rFonts w:ascii="Arial" w:hAnsi="Arial" w:cs="Arial"/>
            <w:color w:val="0000FF"/>
            <w:sz w:val="20"/>
            <w:szCs w:val="20"/>
          </w:rPr>
          <w:t>абзаце третьем</w:t>
        </w:r>
      </w:hyperlink>
      <w:r>
        <w:rPr>
          <w:rFonts w:ascii="Arial" w:hAnsi="Arial" w:cs="Arial"/>
          <w:sz w:val="20"/>
          <w:szCs w:val="20"/>
        </w:rPr>
        <w:t xml:space="preserve"> слова "присоединенную и" исключить;</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84" w:history="1">
        <w:r>
          <w:rPr>
            <w:rFonts w:ascii="Arial" w:hAnsi="Arial" w:cs="Arial"/>
            <w:color w:val="0000FF"/>
            <w:sz w:val="20"/>
            <w:szCs w:val="20"/>
          </w:rPr>
          <w:t>абзаце четвертом</w:t>
        </w:r>
      </w:hyperlink>
      <w:r>
        <w:rPr>
          <w:rFonts w:ascii="Arial" w:hAnsi="Arial" w:cs="Arial"/>
          <w:sz w:val="20"/>
          <w:szCs w:val="20"/>
        </w:rPr>
        <w:t xml:space="preserve"> слова "присоединяемая мощность которых превышает 750 кВА" заменить словами "максимальная мощность которых составляет не менее 670 кВт";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85" w:history="1">
        <w:r>
          <w:rPr>
            <w:rFonts w:ascii="Arial" w:hAnsi="Arial" w:cs="Arial"/>
            <w:color w:val="0000FF"/>
            <w:sz w:val="20"/>
            <w:szCs w:val="20"/>
          </w:rPr>
          <w:t>пункте 25</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386" w:history="1">
        <w:r>
          <w:rPr>
            <w:rFonts w:ascii="Arial" w:hAnsi="Arial" w:cs="Arial"/>
            <w:color w:val="0000FF"/>
            <w:sz w:val="20"/>
            <w:szCs w:val="20"/>
          </w:rPr>
          <w:t>подпункт "а(1)"</w:t>
        </w:r>
      </w:hyperlink>
      <w:r>
        <w:rPr>
          <w:rFonts w:ascii="Arial" w:hAnsi="Arial" w:cs="Arial"/>
          <w:sz w:val="20"/>
          <w:szCs w:val="20"/>
        </w:rPr>
        <w:t xml:space="preserve"> изложить в следующей редакции: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"а(1)) максимальная мощность в соответствии с заявкой и ее распределение по каждой точке присоединения к объектам электросетевого хозяйства;";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387" w:history="1">
        <w:r>
          <w:rPr>
            <w:rFonts w:ascii="Arial" w:hAnsi="Arial" w:cs="Arial"/>
            <w:color w:val="0000FF"/>
            <w:sz w:val="20"/>
            <w:szCs w:val="20"/>
          </w:rPr>
          <w:t>дополнить</w:t>
        </w:r>
      </w:hyperlink>
      <w:r>
        <w:rPr>
          <w:rFonts w:ascii="Arial" w:hAnsi="Arial" w:cs="Arial"/>
          <w:sz w:val="20"/>
          <w:szCs w:val="20"/>
        </w:rPr>
        <w:t xml:space="preserve"> подпунктом "а(2)" следующего содержания: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"а(2)) распределение обязанностей между сторонами по исполнению технических условий (мероприятия по технологическому присоединению в пределах границ участка, на котором расположены энергопринимающие устройства заявителя, осуществляются заявителем, а мероприятия по технологическому присоединению до границы участка, на котором расположены энергопринимающие устройства заявителя, включая урегулирование отношений с иными лицами, осуществляются сетевой организацией);";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88" w:history="1">
        <w:r>
          <w:rPr>
            <w:rFonts w:ascii="Arial" w:hAnsi="Arial" w:cs="Arial"/>
            <w:color w:val="0000FF"/>
            <w:sz w:val="20"/>
            <w:szCs w:val="20"/>
          </w:rPr>
          <w:t>подпункте "г"</w:t>
        </w:r>
      </w:hyperlink>
      <w:r>
        <w:rPr>
          <w:rFonts w:ascii="Arial" w:hAnsi="Arial" w:cs="Arial"/>
          <w:sz w:val="20"/>
          <w:szCs w:val="20"/>
        </w:rPr>
        <w:t xml:space="preserve"> слова "всей присоединяемой мощности энергопринимающих устройств" заменить словами "всей мощности присоединяемых энергопринимающих устройств";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389" w:history="1">
        <w:r>
          <w:rPr>
            <w:rFonts w:ascii="Arial" w:hAnsi="Arial" w:cs="Arial"/>
            <w:color w:val="0000FF"/>
            <w:sz w:val="20"/>
            <w:szCs w:val="20"/>
          </w:rPr>
          <w:t>дополнить</w:t>
        </w:r>
      </w:hyperlink>
      <w:r>
        <w:rPr>
          <w:rFonts w:ascii="Arial" w:hAnsi="Arial" w:cs="Arial"/>
          <w:sz w:val="20"/>
          <w:szCs w:val="20"/>
        </w:rPr>
        <w:t xml:space="preserve"> подпунктом "е" следующего содержания: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"е) требования по установке автономного резервного источника питания (при присоединении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людей, экологической безопасности либо безопасности государства).";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390" w:history="1">
        <w:r>
          <w:rPr>
            <w:rFonts w:ascii="Arial" w:hAnsi="Arial" w:cs="Arial"/>
            <w:color w:val="0000FF"/>
            <w:sz w:val="20"/>
            <w:szCs w:val="20"/>
          </w:rPr>
          <w:t>пункт 25(1)</w:t>
        </w:r>
      </w:hyperlink>
      <w:r>
        <w:rPr>
          <w:rFonts w:ascii="Arial" w:hAnsi="Arial" w:cs="Arial"/>
          <w:sz w:val="20"/>
          <w:szCs w:val="20"/>
        </w:rPr>
        <w:t xml:space="preserve"> дополнить подпунктом "а(1)" следующего содержания: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"а(1)) максимальная мощность в соответствии с заявкой и ее распределение по каждой точке присоединения к объектам электросетевого хозяйства;";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91" w:history="1">
        <w:r>
          <w:rPr>
            <w:rFonts w:ascii="Arial" w:hAnsi="Arial" w:cs="Arial"/>
            <w:color w:val="0000FF"/>
            <w:sz w:val="20"/>
            <w:szCs w:val="20"/>
          </w:rPr>
          <w:t>пункте 26</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92" w:history="1">
        <w:r>
          <w:rPr>
            <w:rFonts w:ascii="Arial" w:hAnsi="Arial" w:cs="Arial"/>
            <w:color w:val="0000FF"/>
            <w:sz w:val="20"/>
            <w:szCs w:val="20"/>
          </w:rPr>
          <w:t>абзаце втором</w:t>
        </w:r>
      </w:hyperlink>
      <w:r>
        <w:rPr>
          <w:rFonts w:ascii="Arial" w:hAnsi="Arial" w:cs="Arial"/>
          <w:sz w:val="20"/>
          <w:szCs w:val="20"/>
        </w:rP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свыше 100 кВт и менее 670 кВт";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393" w:history="1">
        <w:r>
          <w:rPr>
            <w:rFonts w:ascii="Arial" w:hAnsi="Arial" w:cs="Arial"/>
            <w:color w:val="0000FF"/>
            <w:sz w:val="20"/>
            <w:szCs w:val="20"/>
          </w:rPr>
          <w:t>дополнить</w:t>
        </w:r>
      </w:hyperlink>
      <w:r>
        <w:rPr>
          <w:rFonts w:ascii="Arial" w:hAnsi="Arial" w:cs="Arial"/>
          <w:sz w:val="20"/>
          <w:szCs w:val="20"/>
        </w:rPr>
        <w:t xml:space="preserve"> абзацем следующего содержания: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"Требования, предъявляемые к приборам учета электрической энергии и мощности (активной и реактивной) в соответствии с пунктами 25 и 25(1) настоящих Правил, должны соответствовать требованиям, установленным </w:t>
      </w:r>
      <w:hyperlink r:id="rId1394" w:history="1">
        <w:r>
          <w:rPr>
            <w:rFonts w:ascii="Arial" w:hAnsi="Arial" w:cs="Arial"/>
            <w:color w:val="0000FF"/>
            <w:sz w:val="20"/>
            <w:szCs w:val="20"/>
          </w:rPr>
          <w:t>Правилами</w:t>
        </w:r>
      </w:hyperlink>
      <w:r>
        <w:rPr>
          <w:rFonts w:ascii="Arial" w:hAnsi="Arial" w:cs="Arial"/>
          <w:sz w:val="20"/>
          <w:szCs w:val="20"/>
        </w:rPr>
        <w:t xml:space="preserve"> оптового рынка электрической энергии и мощности - для субъектов оптового рынка и Основными положениями функционирования розничных рынков электрической энергии - для субъектов розничных рынков.";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95" w:history="1">
        <w:r>
          <w:rPr>
            <w:rFonts w:ascii="Arial" w:hAnsi="Arial" w:cs="Arial"/>
            <w:color w:val="0000FF"/>
            <w:sz w:val="20"/>
            <w:szCs w:val="20"/>
          </w:rPr>
          <w:t>пункте 27</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96" w:history="1">
        <w:r>
          <w:rPr>
            <w:rFonts w:ascii="Arial" w:hAnsi="Arial" w:cs="Arial"/>
            <w:color w:val="0000FF"/>
            <w:sz w:val="20"/>
            <w:szCs w:val="20"/>
          </w:rPr>
          <w:t>абзаце четвертом</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после слов "сетевая организация" дополнить словами "не позднее 7 дней со дня получения заявления о восстановлении ранее выданных технических условий";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слова "присоединенной (максимальной)" заменить словами "максимальной";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97" w:history="1">
        <w:r>
          <w:rPr>
            <w:rFonts w:ascii="Arial" w:hAnsi="Arial" w:cs="Arial"/>
            <w:color w:val="0000FF"/>
            <w:sz w:val="20"/>
            <w:szCs w:val="20"/>
          </w:rPr>
          <w:t>абзаце пятом</w:t>
        </w:r>
      </w:hyperlink>
      <w:r>
        <w:rPr>
          <w:rFonts w:ascii="Arial" w:hAnsi="Arial" w:cs="Arial"/>
          <w:sz w:val="20"/>
          <w:szCs w:val="20"/>
        </w:rPr>
        <w:t xml:space="preserve"> слова "равной фактически потребляемой максимальной мощности за последние 5 лет, либо исходя из представленных заявителями иных достоверных данных об объемах ранее присоединенной в установленном порядке максимальной мощности" заменить словами "определенной исходя из представленных заявителями данных об объемах максимальной мощности энергопринимающих устройств, ранее присоединенных в установленном порядке. При этом новые технические условия должны быть выданы не позднее чем через 45 дней со дня обращения заявителя в сетевую организацию";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398" w:history="1">
        <w:r>
          <w:rPr>
            <w:rFonts w:ascii="Arial" w:hAnsi="Arial" w:cs="Arial"/>
            <w:color w:val="0000FF"/>
            <w:sz w:val="20"/>
            <w:szCs w:val="20"/>
          </w:rPr>
          <w:t>дополнить</w:t>
        </w:r>
      </w:hyperlink>
      <w:r>
        <w:rPr>
          <w:rFonts w:ascii="Arial" w:hAnsi="Arial" w:cs="Arial"/>
          <w:sz w:val="20"/>
          <w:szCs w:val="20"/>
        </w:rPr>
        <w:t xml:space="preserve"> абзацем шестым следующего содержания: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"Для подготовки и выдачи дубликатов технических условий или новых технических условий сетевая организация не вправе запрашивать у лица, обратившегося с заявлением о восстановлении ранее выданных технических условий, материалы, подготовка и предоставление которых потребует от такого </w:t>
      </w:r>
      <w:r>
        <w:rPr>
          <w:rFonts w:ascii="Arial" w:hAnsi="Arial" w:cs="Arial"/>
          <w:sz w:val="20"/>
          <w:szCs w:val="20"/>
        </w:rPr>
        <w:lastRenderedPageBreak/>
        <w:t>лица осуществления действий, которые невозможно осуществить в сроки, установленные для выдачи сетевой организацией дубликатов технических условий или новых технических условий.";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399" w:history="1">
        <w:r>
          <w:rPr>
            <w:rFonts w:ascii="Arial" w:hAnsi="Arial" w:cs="Arial"/>
            <w:color w:val="0000FF"/>
            <w:sz w:val="20"/>
            <w:szCs w:val="20"/>
          </w:rPr>
          <w:t>подпункте "б" пункта 28</w:t>
        </w:r>
      </w:hyperlink>
      <w:r>
        <w:rPr>
          <w:rFonts w:ascii="Arial" w:hAnsi="Arial" w:cs="Arial"/>
          <w:sz w:val="20"/>
          <w:szCs w:val="20"/>
        </w:rPr>
        <w:t xml:space="preserve"> слова "присоединяемую мощность" заменить словами "максимальную мощность";</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400" w:history="1">
        <w:r>
          <w:rPr>
            <w:rFonts w:ascii="Arial" w:hAnsi="Arial" w:cs="Arial"/>
            <w:color w:val="0000FF"/>
            <w:sz w:val="20"/>
            <w:szCs w:val="20"/>
          </w:rPr>
          <w:t>абзаце третьем пункта 30(3)</w:t>
        </w:r>
      </w:hyperlink>
      <w:r>
        <w:rPr>
          <w:rFonts w:ascii="Arial" w:hAnsi="Arial" w:cs="Arial"/>
          <w:sz w:val="20"/>
          <w:szCs w:val="20"/>
        </w:rPr>
        <w:t xml:space="preserve"> слова "присоединяемая мощность которых превышает 750 кВА" заменить словами "максимальная мощность которых составляет не менее 670 кВт";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401" w:history="1">
        <w:r>
          <w:rPr>
            <w:rFonts w:ascii="Arial" w:hAnsi="Arial" w:cs="Arial"/>
            <w:color w:val="0000FF"/>
            <w:sz w:val="20"/>
            <w:szCs w:val="20"/>
          </w:rPr>
          <w:t>наименовании</w:t>
        </w:r>
      </w:hyperlink>
      <w:r>
        <w:rPr>
          <w:rFonts w:ascii="Arial" w:hAnsi="Arial" w:cs="Arial"/>
          <w:sz w:val="20"/>
          <w:szCs w:val="20"/>
        </w:rPr>
        <w:t xml:space="preserve"> раздела IV слова "присоединенной мощности" заменить словами "максимальной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402" w:history="1">
        <w:r>
          <w:rPr>
            <w:rFonts w:ascii="Arial" w:hAnsi="Arial" w:cs="Arial"/>
            <w:color w:val="0000FF"/>
            <w:sz w:val="20"/>
            <w:szCs w:val="20"/>
          </w:rPr>
          <w:t>пунктах 34</w:t>
        </w:r>
      </w:hyperlink>
      <w:r>
        <w:rPr>
          <w:rFonts w:ascii="Arial" w:hAnsi="Arial" w:cs="Arial"/>
          <w:sz w:val="20"/>
          <w:szCs w:val="20"/>
        </w:rPr>
        <w:t xml:space="preserve"> и </w:t>
      </w:r>
      <w:hyperlink r:id="rId1403" w:history="1">
        <w:r>
          <w:rPr>
            <w:rFonts w:ascii="Arial" w:hAnsi="Arial" w:cs="Arial"/>
            <w:color w:val="0000FF"/>
            <w:sz w:val="20"/>
            <w:szCs w:val="20"/>
          </w:rPr>
          <w:t>35</w:t>
        </w:r>
      </w:hyperlink>
      <w:r>
        <w:rPr>
          <w:rFonts w:ascii="Arial" w:hAnsi="Arial" w:cs="Arial"/>
          <w:sz w:val="20"/>
          <w:szCs w:val="20"/>
        </w:rPr>
        <w:t xml:space="preserve"> слова "присоединенная мощность" в соответствующем падеже заменить словами "максимальная мощность" в соответствующем падеже, слова "присоединенной и" исключить;</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404" w:history="1">
        <w:r>
          <w:rPr>
            <w:rFonts w:ascii="Arial" w:hAnsi="Arial" w:cs="Arial"/>
            <w:color w:val="0000FF"/>
            <w:sz w:val="20"/>
            <w:szCs w:val="20"/>
          </w:rPr>
          <w:t>пунктах 36</w:t>
        </w:r>
      </w:hyperlink>
      <w:r>
        <w:rPr>
          <w:rFonts w:ascii="Arial" w:hAnsi="Arial" w:cs="Arial"/>
          <w:sz w:val="20"/>
          <w:szCs w:val="20"/>
        </w:rPr>
        <w:t xml:space="preserve"> и </w:t>
      </w:r>
      <w:hyperlink r:id="rId1405" w:history="1">
        <w:r>
          <w:rPr>
            <w:rFonts w:ascii="Arial" w:hAnsi="Arial" w:cs="Arial"/>
            <w:color w:val="0000FF"/>
            <w:sz w:val="20"/>
            <w:szCs w:val="20"/>
          </w:rPr>
          <w:t>37</w:t>
        </w:r>
      </w:hyperlink>
      <w:r>
        <w:rPr>
          <w:rFonts w:ascii="Arial" w:hAnsi="Arial" w:cs="Arial"/>
          <w:sz w:val="20"/>
          <w:szCs w:val="20"/>
        </w:rPr>
        <w:t xml:space="preserve"> слова "присоединенная мощность" в соответствующем падеже заменить словами "максимальная мощность" в соответствующем падеже;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406" w:history="1">
        <w:r>
          <w:rPr>
            <w:rFonts w:ascii="Arial" w:hAnsi="Arial" w:cs="Arial"/>
            <w:color w:val="0000FF"/>
            <w:sz w:val="20"/>
            <w:szCs w:val="20"/>
          </w:rPr>
          <w:t>пункте 38</w:t>
        </w:r>
      </w:hyperlink>
      <w:r>
        <w:rPr>
          <w:rFonts w:ascii="Arial" w:hAnsi="Arial" w:cs="Arial"/>
          <w:sz w:val="20"/>
          <w:szCs w:val="20"/>
        </w:rPr>
        <w:t xml:space="preserve"> слова "присоединенная мощность" в соответствующем падеже заменить словами "максимальная мощность" в соответствующем падеже, слова "присоединенной и" исключить;</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407" w:history="1">
        <w:r>
          <w:rPr>
            <w:rFonts w:ascii="Arial" w:hAnsi="Arial" w:cs="Arial"/>
            <w:color w:val="0000FF"/>
            <w:sz w:val="20"/>
            <w:szCs w:val="20"/>
          </w:rPr>
          <w:t>пунктах 39</w:t>
        </w:r>
      </w:hyperlink>
      <w:r>
        <w:rPr>
          <w:rFonts w:ascii="Arial" w:hAnsi="Arial" w:cs="Arial"/>
          <w:sz w:val="20"/>
          <w:szCs w:val="20"/>
        </w:rPr>
        <w:t xml:space="preserve"> и </w:t>
      </w:r>
      <w:hyperlink r:id="rId1408" w:history="1">
        <w:r>
          <w:rPr>
            <w:rFonts w:ascii="Arial" w:hAnsi="Arial" w:cs="Arial"/>
            <w:color w:val="0000FF"/>
            <w:sz w:val="20"/>
            <w:szCs w:val="20"/>
          </w:rPr>
          <w:t>40</w:t>
        </w:r>
      </w:hyperlink>
      <w:r>
        <w:rPr>
          <w:rFonts w:ascii="Arial" w:hAnsi="Arial" w:cs="Arial"/>
          <w:sz w:val="20"/>
          <w:szCs w:val="20"/>
        </w:rPr>
        <w:t xml:space="preserve"> слова "присоединенная мощность" в соответствующем падеже заменить словами "максимальная мощность" в соответствующем падеже;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409" w:history="1">
        <w:r>
          <w:rPr>
            <w:rFonts w:ascii="Arial" w:hAnsi="Arial" w:cs="Arial"/>
            <w:color w:val="0000FF"/>
            <w:sz w:val="20"/>
            <w:szCs w:val="20"/>
          </w:rPr>
          <w:t>пункте 43</w:t>
        </w:r>
      </w:hyperlink>
      <w:r>
        <w:rPr>
          <w:rFonts w:ascii="Arial" w:hAnsi="Arial" w:cs="Arial"/>
          <w:sz w:val="20"/>
          <w:szCs w:val="20"/>
        </w:rPr>
        <w:t xml:space="preserve"> слова "об объеме присоединенной (максимальной) мощности" заменить словами "об объеме максимальной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410" w:history="1">
        <w:r>
          <w:rPr>
            <w:rFonts w:ascii="Arial" w:hAnsi="Arial" w:cs="Arial"/>
            <w:color w:val="0000FF"/>
            <w:sz w:val="20"/>
            <w:szCs w:val="20"/>
          </w:rPr>
          <w:t>раздел VI</w:t>
        </w:r>
      </w:hyperlink>
      <w:r>
        <w:rPr>
          <w:rFonts w:ascii="Arial" w:hAnsi="Arial" w:cs="Arial"/>
          <w:sz w:val="20"/>
          <w:szCs w:val="20"/>
        </w:rPr>
        <w:t xml:space="preserve"> признать утратившим силу;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411" w:history="1">
        <w:r>
          <w:rPr>
            <w:rFonts w:ascii="Arial" w:hAnsi="Arial" w:cs="Arial"/>
            <w:color w:val="0000FF"/>
            <w:sz w:val="20"/>
            <w:szCs w:val="20"/>
          </w:rPr>
          <w:t>приложении N 1</w:t>
        </w:r>
      </w:hyperlink>
      <w:r>
        <w:rPr>
          <w:rFonts w:ascii="Arial" w:hAnsi="Arial" w:cs="Arial"/>
          <w:sz w:val="20"/>
          <w:szCs w:val="20"/>
        </w:rPr>
        <w:t xml:space="preserve"> к указанным Правилам: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412" w:history="1">
        <w:r>
          <w:rPr>
            <w:rFonts w:ascii="Arial" w:hAnsi="Arial" w:cs="Arial"/>
            <w:color w:val="0000FF"/>
            <w:sz w:val="20"/>
            <w:szCs w:val="20"/>
          </w:rPr>
          <w:t>наименовании</w:t>
        </w:r>
      </w:hyperlink>
      <w:r>
        <w:rPr>
          <w:rFonts w:ascii="Arial" w:hAnsi="Arial" w:cs="Arial"/>
          <w:sz w:val="20"/>
          <w:szCs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413" w:history="1">
        <w:r>
          <w:rPr>
            <w:rFonts w:ascii="Arial" w:hAnsi="Arial" w:cs="Arial"/>
            <w:color w:val="0000FF"/>
            <w:sz w:val="20"/>
            <w:szCs w:val="20"/>
          </w:rPr>
          <w:t>абзаце пятом пункта 1</w:t>
        </w:r>
      </w:hyperlink>
      <w:r>
        <w:rPr>
          <w:rFonts w:ascii="Arial" w:hAnsi="Arial" w:cs="Arial"/>
          <w:sz w:val="20"/>
          <w:szCs w:val="20"/>
        </w:rP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414" w:history="1">
        <w:r>
          <w:rPr>
            <w:rFonts w:ascii="Arial" w:hAnsi="Arial" w:cs="Arial"/>
            <w:color w:val="0000FF"/>
            <w:sz w:val="20"/>
            <w:szCs w:val="20"/>
          </w:rPr>
          <w:t>сноске 1</w:t>
        </w:r>
      </w:hyperlink>
      <w:r>
        <w:rPr>
          <w:rFonts w:ascii="Arial" w:hAnsi="Arial" w:cs="Arial"/>
          <w:sz w:val="20"/>
          <w:szCs w:val="20"/>
        </w:rP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415" w:history="1">
        <w:r>
          <w:rPr>
            <w:rFonts w:ascii="Arial" w:hAnsi="Arial" w:cs="Arial"/>
            <w:color w:val="0000FF"/>
            <w:sz w:val="20"/>
            <w:szCs w:val="20"/>
          </w:rPr>
          <w:t>сноске 5</w:t>
        </w:r>
      </w:hyperlink>
      <w:r>
        <w:rPr>
          <w:rFonts w:ascii="Arial" w:hAnsi="Arial" w:cs="Arial"/>
          <w:sz w:val="20"/>
          <w:szCs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416" w:history="1">
        <w:r>
          <w:rPr>
            <w:rFonts w:ascii="Arial" w:hAnsi="Arial" w:cs="Arial"/>
            <w:color w:val="0000FF"/>
            <w:sz w:val="20"/>
            <w:szCs w:val="20"/>
          </w:rPr>
          <w:t>приложении</w:t>
        </w:r>
      </w:hyperlink>
      <w:r>
        <w:rPr>
          <w:rFonts w:ascii="Arial" w:hAnsi="Arial" w:cs="Arial"/>
          <w:sz w:val="20"/>
          <w:szCs w:val="20"/>
        </w:rPr>
        <w:t xml:space="preserve"> к типовому договору об осуществлении технологического присоединения к электрическим сетям: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417" w:history="1">
        <w:r>
          <w:rPr>
            <w:rFonts w:ascii="Arial" w:hAnsi="Arial" w:cs="Arial"/>
            <w:color w:val="0000FF"/>
            <w:sz w:val="20"/>
            <w:szCs w:val="20"/>
          </w:rPr>
          <w:t>наименовании</w:t>
        </w:r>
      </w:hyperlink>
      <w:r>
        <w:rPr>
          <w:rFonts w:ascii="Arial" w:hAnsi="Arial" w:cs="Arial"/>
          <w:sz w:val="20"/>
          <w:szCs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418" w:history="1">
        <w:r>
          <w:rPr>
            <w:rFonts w:ascii="Arial" w:hAnsi="Arial" w:cs="Arial"/>
            <w:color w:val="0000FF"/>
            <w:sz w:val="20"/>
            <w:szCs w:val="20"/>
          </w:rPr>
          <w:t>пункт 7</w:t>
        </w:r>
      </w:hyperlink>
      <w:r>
        <w:rPr>
          <w:rFonts w:ascii="Arial" w:hAnsi="Arial" w:cs="Arial"/>
          <w:sz w:val="20"/>
          <w:szCs w:val="20"/>
        </w:rPr>
        <w:t xml:space="preserve"> изложить в следующей редакции: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 (кВт).";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419" w:history="1">
        <w:r>
          <w:rPr>
            <w:rFonts w:ascii="Arial" w:hAnsi="Arial" w:cs="Arial"/>
            <w:color w:val="0000FF"/>
            <w:sz w:val="20"/>
            <w:szCs w:val="20"/>
          </w:rPr>
          <w:t>приложении N 2</w:t>
        </w:r>
      </w:hyperlink>
      <w:r>
        <w:rPr>
          <w:rFonts w:ascii="Arial" w:hAnsi="Arial" w:cs="Arial"/>
          <w:sz w:val="20"/>
          <w:szCs w:val="20"/>
        </w:rPr>
        <w:t xml:space="preserve"> к указанным Правилам: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в </w:t>
      </w:r>
      <w:hyperlink r:id="rId1420" w:history="1">
        <w:r>
          <w:rPr>
            <w:rFonts w:ascii="Arial" w:hAnsi="Arial" w:cs="Arial"/>
            <w:color w:val="0000FF"/>
            <w:sz w:val="20"/>
            <w:szCs w:val="20"/>
          </w:rPr>
          <w:t>наименовании</w:t>
        </w:r>
      </w:hyperlink>
      <w:r>
        <w:rPr>
          <w:rFonts w:ascii="Arial" w:hAnsi="Arial" w:cs="Arial"/>
          <w:sz w:val="20"/>
          <w:szCs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421" w:history="1">
        <w:r>
          <w:rPr>
            <w:rFonts w:ascii="Arial" w:hAnsi="Arial" w:cs="Arial"/>
            <w:color w:val="0000FF"/>
            <w:sz w:val="20"/>
            <w:szCs w:val="20"/>
          </w:rPr>
          <w:t>абзаце пятом пункта 1</w:t>
        </w:r>
      </w:hyperlink>
      <w:r>
        <w:rPr>
          <w:rFonts w:ascii="Arial" w:hAnsi="Arial" w:cs="Arial"/>
          <w:sz w:val="20"/>
          <w:szCs w:val="20"/>
        </w:rP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422" w:history="1">
        <w:r>
          <w:rPr>
            <w:rFonts w:ascii="Arial" w:hAnsi="Arial" w:cs="Arial"/>
            <w:color w:val="0000FF"/>
            <w:sz w:val="20"/>
            <w:szCs w:val="20"/>
          </w:rPr>
          <w:t>сноске 1</w:t>
        </w:r>
      </w:hyperlink>
      <w:r>
        <w:rPr>
          <w:rFonts w:ascii="Arial" w:hAnsi="Arial" w:cs="Arial"/>
          <w:sz w:val="20"/>
          <w:szCs w:val="20"/>
        </w:rP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423" w:history="1">
        <w:r>
          <w:rPr>
            <w:rFonts w:ascii="Arial" w:hAnsi="Arial" w:cs="Arial"/>
            <w:color w:val="0000FF"/>
            <w:sz w:val="20"/>
            <w:szCs w:val="20"/>
          </w:rPr>
          <w:t>сноске 5</w:t>
        </w:r>
      </w:hyperlink>
      <w:r>
        <w:rPr>
          <w:rFonts w:ascii="Arial" w:hAnsi="Arial" w:cs="Arial"/>
          <w:sz w:val="20"/>
          <w:szCs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424" w:history="1">
        <w:r>
          <w:rPr>
            <w:rFonts w:ascii="Arial" w:hAnsi="Arial" w:cs="Arial"/>
            <w:color w:val="0000FF"/>
            <w:sz w:val="20"/>
            <w:szCs w:val="20"/>
          </w:rPr>
          <w:t>приложении</w:t>
        </w:r>
      </w:hyperlink>
      <w:r>
        <w:rPr>
          <w:rFonts w:ascii="Arial" w:hAnsi="Arial" w:cs="Arial"/>
          <w:sz w:val="20"/>
          <w:szCs w:val="20"/>
        </w:rPr>
        <w:t xml:space="preserve"> к типовому договору об осуществлении технологического присоединения к электрическим сетям: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425" w:history="1">
        <w:r>
          <w:rPr>
            <w:rFonts w:ascii="Arial" w:hAnsi="Arial" w:cs="Arial"/>
            <w:color w:val="0000FF"/>
            <w:sz w:val="20"/>
            <w:szCs w:val="20"/>
          </w:rPr>
          <w:t>наименовании</w:t>
        </w:r>
      </w:hyperlink>
      <w:r>
        <w:rPr>
          <w:rFonts w:ascii="Arial" w:hAnsi="Arial" w:cs="Arial"/>
          <w:sz w:val="20"/>
          <w:szCs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426" w:history="1">
        <w:r>
          <w:rPr>
            <w:rFonts w:ascii="Arial" w:hAnsi="Arial" w:cs="Arial"/>
            <w:color w:val="0000FF"/>
            <w:sz w:val="20"/>
            <w:szCs w:val="20"/>
          </w:rPr>
          <w:t>пункт 7</w:t>
        </w:r>
      </w:hyperlink>
      <w:r>
        <w:rPr>
          <w:rFonts w:ascii="Arial" w:hAnsi="Arial" w:cs="Arial"/>
          <w:sz w:val="20"/>
          <w:szCs w:val="20"/>
        </w:rPr>
        <w:t xml:space="preserve"> изложить в следующей редакции: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 (кВт).";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427" w:history="1">
        <w:r>
          <w:rPr>
            <w:rFonts w:ascii="Arial" w:hAnsi="Arial" w:cs="Arial"/>
            <w:color w:val="0000FF"/>
            <w:sz w:val="20"/>
            <w:szCs w:val="20"/>
          </w:rPr>
          <w:t>приложении N 3</w:t>
        </w:r>
      </w:hyperlink>
      <w:r>
        <w:rPr>
          <w:rFonts w:ascii="Arial" w:hAnsi="Arial" w:cs="Arial"/>
          <w:sz w:val="20"/>
          <w:szCs w:val="20"/>
        </w:rPr>
        <w:t xml:space="preserve"> к указанным Правилам: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428" w:history="1">
        <w:r>
          <w:rPr>
            <w:rFonts w:ascii="Arial" w:hAnsi="Arial" w:cs="Arial"/>
            <w:color w:val="0000FF"/>
            <w:sz w:val="20"/>
            <w:szCs w:val="20"/>
          </w:rPr>
          <w:t>наименовании</w:t>
        </w:r>
      </w:hyperlink>
      <w:r>
        <w:rPr>
          <w:rFonts w:ascii="Arial" w:hAnsi="Arial" w:cs="Arial"/>
          <w:sz w:val="20"/>
          <w:szCs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429" w:history="1">
        <w:r>
          <w:rPr>
            <w:rFonts w:ascii="Arial" w:hAnsi="Arial" w:cs="Arial"/>
            <w:color w:val="0000FF"/>
            <w:sz w:val="20"/>
            <w:szCs w:val="20"/>
          </w:rPr>
          <w:t>абзаце пятом пункта 1</w:t>
        </w:r>
      </w:hyperlink>
      <w:r>
        <w:rPr>
          <w:rFonts w:ascii="Arial" w:hAnsi="Arial" w:cs="Arial"/>
          <w:sz w:val="20"/>
          <w:szCs w:val="20"/>
        </w:rP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430" w:history="1">
        <w:r>
          <w:rPr>
            <w:rFonts w:ascii="Arial" w:hAnsi="Arial" w:cs="Arial"/>
            <w:color w:val="0000FF"/>
            <w:sz w:val="20"/>
            <w:szCs w:val="20"/>
          </w:rPr>
          <w:t>раздел V</w:t>
        </w:r>
      </w:hyperlink>
      <w:r>
        <w:rPr>
          <w:rFonts w:ascii="Arial" w:hAnsi="Arial" w:cs="Arial"/>
          <w:sz w:val="20"/>
          <w:szCs w:val="20"/>
        </w:rPr>
        <w:t xml:space="preserve"> признать утратившим силу;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431" w:history="1">
        <w:r>
          <w:rPr>
            <w:rFonts w:ascii="Arial" w:hAnsi="Arial" w:cs="Arial"/>
            <w:color w:val="0000FF"/>
            <w:sz w:val="20"/>
            <w:szCs w:val="20"/>
          </w:rPr>
          <w:t>сноске 1</w:t>
        </w:r>
      </w:hyperlink>
      <w:r>
        <w:rPr>
          <w:rFonts w:ascii="Arial" w:hAnsi="Arial" w:cs="Arial"/>
          <w:sz w:val="20"/>
          <w:szCs w:val="20"/>
        </w:rP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432" w:history="1">
        <w:r>
          <w:rPr>
            <w:rFonts w:ascii="Arial" w:hAnsi="Arial" w:cs="Arial"/>
            <w:color w:val="0000FF"/>
            <w:sz w:val="20"/>
            <w:szCs w:val="20"/>
          </w:rPr>
          <w:t>приложении</w:t>
        </w:r>
      </w:hyperlink>
      <w:r>
        <w:rPr>
          <w:rFonts w:ascii="Arial" w:hAnsi="Arial" w:cs="Arial"/>
          <w:sz w:val="20"/>
          <w:szCs w:val="20"/>
        </w:rPr>
        <w:t xml:space="preserve"> к типовому договору об осуществлении технологического присоединения к электрическим сетям: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433" w:history="1">
        <w:r>
          <w:rPr>
            <w:rFonts w:ascii="Arial" w:hAnsi="Arial" w:cs="Arial"/>
            <w:color w:val="0000FF"/>
            <w:sz w:val="20"/>
            <w:szCs w:val="20"/>
          </w:rPr>
          <w:t>наименовании</w:t>
        </w:r>
      </w:hyperlink>
      <w:r>
        <w:rPr>
          <w:rFonts w:ascii="Arial" w:hAnsi="Arial" w:cs="Arial"/>
          <w:sz w:val="20"/>
          <w:szCs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434" w:history="1">
        <w:r>
          <w:rPr>
            <w:rFonts w:ascii="Arial" w:hAnsi="Arial" w:cs="Arial"/>
            <w:color w:val="0000FF"/>
            <w:sz w:val="20"/>
            <w:szCs w:val="20"/>
          </w:rPr>
          <w:t>пункт 7</w:t>
        </w:r>
      </w:hyperlink>
      <w:r>
        <w:rPr>
          <w:rFonts w:ascii="Arial" w:hAnsi="Arial" w:cs="Arial"/>
          <w:sz w:val="20"/>
          <w:szCs w:val="20"/>
        </w:rPr>
        <w:t xml:space="preserve"> изложить в следующей редакции: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_______________ (кВт).";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435" w:history="1">
        <w:r>
          <w:rPr>
            <w:rFonts w:ascii="Arial" w:hAnsi="Arial" w:cs="Arial"/>
            <w:color w:val="0000FF"/>
            <w:sz w:val="20"/>
            <w:szCs w:val="20"/>
          </w:rPr>
          <w:t>приложении N 4</w:t>
        </w:r>
      </w:hyperlink>
      <w:r>
        <w:rPr>
          <w:rFonts w:ascii="Arial" w:hAnsi="Arial" w:cs="Arial"/>
          <w:sz w:val="20"/>
          <w:szCs w:val="20"/>
        </w:rPr>
        <w:t xml:space="preserve"> к указанным Правилам: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436" w:history="1">
        <w:r>
          <w:rPr>
            <w:rFonts w:ascii="Arial" w:hAnsi="Arial" w:cs="Arial"/>
            <w:color w:val="0000FF"/>
            <w:sz w:val="20"/>
            <w:szCs w:val="20"/>
          </w:rPr>
          <w:t>наименовании</w:t>
        </w:r>
      </w:hyperlink>
      <w:r>
        <w:rPr>
          <w:rFonts w:ascii="Arial" w:hAnsi="Arial" w:cs="Arial"/>
          <w:sz w:val="20"/>
          <w:szCs w:val="20"/>
        </w:rPr>
        <w:t xml:space="preserve"> слова "суммарная присоединенная мощность которых не превышает 750 кВА" заменить словами "максимальная мощность которых свыше 100 кВт и менее 670 кВт";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в </w:t>
      </w:r>
      <w:hyperlink r:id="rId1437" w:history="1">
        <w:r>
          <w:rPr>
            <w:rFonts w:ascii="Arial" w:hAnsi="Arial" w:cs="Arial"/>
            <w:color w:val="0000FF"/>
            <w:sz w:val="20"/>
            <w:szCs w:val="20"/>
          </w:rPr>
          <w:t>абзаце пятом пункта 1</w:t>
        </w:r>
      </w:hyperlink>
      <w:r>
        <w:rPr>
          <w:rFonts w:ascii="Arial" w:hAnsi="Arial" w:cs="Arial"/>
          <w:sz w:val="20"/>
          <w:szCs w:val="20"/>
        </w:rP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438" w:history="1">
        <w:r>
          <w:rPr>
            <w:rFonts w:ascii="Arial" w:hAnsi="Arial" w:cs="Arial"/>
            <w:color w:val="0000FF"/>
            <w:sz w:val="20"/>
            <w:szCs w:val="20"/>
          </w:rPr>
          <w:t>сноске 1</w:t>
        </w:r>
      </w:hyperlink>
      <w:r>
        <w:rPr>
          <w:rFonts w:ascii="Arial" w:hAnsi="Arial" w:cs="Arial"/>
          <w:sz w:val="20"/>
          <w:szCs w:val="20"/>
        </w:rP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439" w:history="1">
        <w:r>
          <w:rPr>
            <w:rFonts w:ascii="Arial" w:hAnsi="Arial" w:cs="Arial"/>
            <w:color w:val="0000FF"/>
            <w:sz w:val="20"/>
            <w:szCs w:val="20"/>
          </w:rPr>
          <w:t>приложении</w:t>
        </w:r>
      </w:hyperlink>
      <w:r>
        <w:rPr>
          <w:rFonts w:ascii="Arial" w:hAnsi="Arial" w:cs="Arial"/>
          <w:sz w:val="20"/>
          <w:szCs w:val="20"/>
        </w:rPr>
        <w:t xml:space="preserve"> к типовому договору об осуществлении технологического присоединения к электрическим сетям: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440" w:history="1">
        <w:r>
          <w:rPr>
            <w:rFonts w:ascii="Arial" w:hAnsi="Arial" w:cs="Arial"/>
            <w:color w:val="0000FF"/>
            <w:sz w:val="20"/>
            <w:szCs w:val="20"/>
          </w:rPr>
          <w:t>наименовании</w:t>
        </w:r>
      </w:hyperlink>
      <w:r>
        <w:rPr>
          <w:rFonts w:ascii="Arial" w:hAnsi="Arial" w:cs="Arial"/>
          <w:sz w:val="20"/>
          <w:szCs w:val="20"/>
        </w:rPr>
        <w:t xml:space="preserve"> слова "суммарная присоединенная мощность которых не превышает 750 кВА" заменить словами "максимальная мощность которых свыше 100 кВт и менее 670 кВт";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441" w:history="1">
        <w:r>
          <w:rPr>
            <w:rFonts w:ascii="Arial" w:hAnsi="Arial" w:cs="Arial"/>
            <w:color w:val="0000FF"/>
            <w:sz w:val="20"/>
            <w:szCs w:val="20"/>
          </w:rPr>
          <w:t>пункт 7</w:t>
        </w:r>
      </w:hyperlink>
      <w:r>
        <w:rPr>
          <w:rFonts w:ascii="Arial" w:hAnsi="Arial" w:cs="Arial"/>
          <w:sz w:val="20"/>
          <w:szCs w:val="20"/>
        </w:rPr>
        <w:t xml:space="preserve"> изложить в следующей редакции: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______________ (кВт).".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В </w:t>
      </w:r>
      <w:hyperlink r:id="rId1442" w:history="1">
        <w:r>
          <w:rPr>
            <w:rFonts w:ascii="Arial" w:hAnsi="Arial" w:cs="Arial"/>
            <w:color w:val="0000FF"/>
            <w:sz w:val="20"/>
            <w:szCs w:val="20"/>
          </w:rPr>
          <w:t>Правилах</w:t>
        </w:r>
      </w:hyperlink>
      <w:r>
        <w:rPr>
          <w:rFonts w:ascii="Arial" w:hAnsi="Arial" w:cs="Arial"/>
          <w:sz w:val="20"/>
          <w:szCs w:val="20"/>
        </w:rPr>
        <w:t xml:space="preserve"> оптового рынка электрической энергии и мощности, утвержденных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(Собрание законодательства Российской Федерации, 2011, N 14, ст. 1916; 2012, N 4, ст. 505):</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а) </w:t>
      </w:r>
      <w:hyperlink r:id="rId1443" w:history="1">
        <w:r>
          <w:rPr>
            <w:rFonts w:ascii="Arial" w:hAnsi="Arial" w:cs="Arial"/>
            <w:color w:val="0000FF"/>
            <w:sz w:val="20"/>
            <w:szCs w:val="20"/>
          </w:rPr>
          <w:t>пункт 7</w:t>
        </w:r>
      </w:hyperlink>
      <w:r>
        <w:rPr>
          <w:rFonts w:ascii="Arial" w:hAnsi="Arial" w:cs="Arial"/>
          <w:sz w:val="20"/>
          <w:szCs w:val="20"/>
        </w:rPr>
        <w:t xml:space="preserve"> после </w:t>
      </w:r>
      <w:hyperlink r:id="rId1444" w:history="1">
        <w:r>
          <w:rPr>
            <w:rFonts w:ascii="Arial" w:hAnsi="Arial" w:cs="Arial"/>
            <w:color w:val="0000FF"/>
            <w:sz w:val="20"/>
            <w:szCs w:val="20"/>
          </w:rPr>
          <w:t>абзаца четвертого</w:t>
        </w:r>
      </w:hyperlink>
      <w:r>
        <w:rPr>
          <w:rFonts w:ascii="Arial" w:hAnsi="Arial" w:cs="Arial"/>
          <w:sz w:val="20"/>
          <w:szCs w:val="20"/>
        </w:rPr>
        <w:t xml:space="preserve"> дополнить абзацем следующего содержания: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"Участники оптового рынка - покупатели электрической энергии сообщают системному оператору до 20-го числа каждого месяца информацию о фактических объемах потребления электрической энергии обслуживаемых ими потребителей за предыдущий месяц в порядке и объемах, предусмотренных договором о присоединении к торговой системе оптового рынка.";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б) </w:t>
      </w:r>
      <w:hyperlink r:id="rId1445" w:history="1">
        <w:r>
          <w:rPr>
            <w:rFonts w:ascii="Arial" w:hAnsi="Arial" w:cs="Arial"/>
            <w:color w:val="0000FF"/>
            <w:sz w:val="20"/>
            <w:szCs w:val="20"/>
          </w:rPr>
          <w:t>пункт 13</w:t>
        </w:r>
      </w:hyperlink>
      <w:r>
        <w:rPr>
          <w:rFonts w:ascii="Arial" w:hAnsi="Arial" w:cs="Arial"/>
          <w:sz w:val="20"/>
          <w:szCs w:val="20"/>
        </w:rPr>
        <w:t xml:space="preserve"> изложить в следующей редакции: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"13. Ограничения режима потребления электрической энергии на оптовом рынке вводятся по основаниям и в порядке, которые предусмотрены </w:t>
      </w:r>
      <w:hyperlink w:anchor="Par3675" w:history="1">
        <w:r>
          <w:rPr>
            <w:rFonts w:ascii="Arial" w:hAnsi="Arial" w:cs="Arial"/>
            <w:color w:val="0000FF"/>
            <w:sz w:val="20"/>
            <w:szCs w:val="20"/>
          </w:rPr>
          <w:t>Правилами</w:t>
        </w:r>
      </w:hyperlink>
      <w:r>
        <w:rPr>
          <w:rFonts w:ascii="Arial" w:hAnsi="Arial" w:cs="Arial"/>
          <w:sz w:val="20"/>
          <w:szCs w:val="20"/>
        </w:rPr>
        <w:t xml:space="preserve"> полного и (или) частичного ограничения режима потребления электрической энергии. При этом в случае введения режима ограничения потребления электрической энергии на оптовом рынке в первую очередь ограничивается переток электрической энергии в энергосистемы иностранных государств.";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в </w:t>
      </w:r>
      <w:hyperlink r:id="rId1446" w:history="1">
        <w:r>
          <w:rPr>
            <w:rFonts w:ascii="Arial" w:hAnsi="Arial" w:cs="Arial"/>
            <w:color w:val="0000FF"/>
            <w:sz w:val="20"/>
            <w:szCs w:val="20"/>
          </w:rPr>
          <w:t>пункте 15</w:t>
        </w:r>
      </w:hyperlink>
      <w:r>
        <w:rPr>
          <w:rFonts w:ascii="Arial" w:hAnsi="Arial" w:cs="Arial"/>
          <w:sz w:val="20"/>
          <w:szCs w:val="20"/>
        </w:rPr>
        <w:t xml:space="preserve"> слова "Результаты расчета" заменить словами "Результаты расчета, максимальный час фактической пиковой нагрузки для каждых рабочих суток расчетного периода для субъекта Российской Федерации", слова "прогнозные значения средневзвешенных свободных (нерегулируемых) цен электрической энергии и (или) мощности" заменить словами "прогнозные значения составляющих предельных уровней нерегулируемых цен, указанных в пункте 183 настоящих Правил,";</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г) </w:t>
      </w:r>
      <w:hyperlink r:id="rId1447" w:history="1">
        <w:r>
          <w:rPr>
            <w:rFonts w:ascii="Arial" w:hAnsi="Arial" w:cs="Arial"/>
            <w:color w:val="0000FF"/>
            <w:sz w:val="20"/>
            <w:szCs w:val="20"/>
          </w:rPr>
          <w:t>абзацы шестой</w:t>
        </w:r>
      </w:hyperlink>
      <w:r>
        <w:rPr>
          <w:rFonts w:ascii="Arial" w:hAnsi="Arial" w:cs="Arial"/>
          <w:sz w:val="20"/>
          <w:szCs w:val="20"/>
        </w:rPr>
        <w:t xml:space="preserve"> и </w:t>
      </w:r>
      <w:hyperlink r:id="rId1448" w:history="1">
        <w:r>
          <w:rPr>
            <w:rFonts w:ascii="Arial" w:hAnsi="Arial" w:cs="Arial"/>
            <w:color w:val="0000FF"/>
            <w:sz w:val="20"/>
            <w:szCs w:val="20"/>
          </w:rPr>
          <w:t>седьмой пункта 27</w:t>
        </w:r>
      </w:hyperlink>
      <w:r>
        <w:rPr>
          <w:rFonts w:ascii="Arial" w:hAnsi="Arial" w:cs="Arial"/>
          <w:sz w:val="20"/>
          <w:szCs w:val="20"/>
        </w:rPr>
        <w:t xml:space="preserve"> заменить текстом следующего содержания: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"До 30 сентября 2012 г. субъекты оптового рынка, не указанные в абзаце пятом настоящего пункта, могут осуществлять покупку (поставку) электрической энергии и (или) мощности на оптовом рынке не ранее даты вступления в силу принятых в отношении их по соответствующим группам точек поставки (в том числе условным) решений федерального органа исполнительной власти в области регулирования тарифов по определению прогнозных объемов производства (потребления) электрической энергии и мощности при условии выполнения требований пунктов 23 - 26 настоящих Правил.</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 1 октября 2012 г. субъекты оптового рынка по соответствующим группам точек поставки (в том числе условным), не указанные в абзацах втором - пятом настоящего пункта, могут осуществлять покупку (поставку) электрической энергии и (или) мощности на оптовом рынке с 1-го числа первого месяца очередного квартала, следующего за кварталом, не позднее 1-го числа последнего месяца которого ими были выполнены требования пунктов 23 - 26 настоящих Правил и представлены в организацию коммерческой инфраструктуры в порядке, определенном договором о присоединении к торговой системе оптового рынка, следующие данные: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фактические объемы потребления электрической энергии и мощности с помесячной разбивкой за период времени, равный 1 году;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прогнозные объемы потребления электрической энергии и мощности с помесячной разбивкой на оставшиеся кварталы текущего года и следующий календарный год.</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 1 июля 2012 г. организация коммерческой инфраструктуры не позднее чем за 20 календарных дней до 1-го числа первого месяца очередного квартала уведомляет федеральный орган исполнительной власти в области государственного регулирования тарифов о наименовании субъектов оптового рынка и группах точек поставки, удовлетворяющих требованиям пунктов 23 - 26 настоящих Правил, с одновременным предоставлением указанной в настоящем пункте информации, полученной от субъектов оптового рынка.";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д) в </w:t>
      </w:r>
      <w:hyperlink r:id="rId1449" w:history="1">
        <w:r>
          <w:rPr>
            <w:rFonts w:ascii="Arial" w:hAnsi="Arial" w:cs="Arial"/>
            <w:color w:val="0000FF"/>
            <w:sz w:val="20"/>
            <w:szCs w:val="20"/>
          </w:rPr>
          <w:t>пункте 31</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450" w:history="1">
        <w:r>
          <w:rPr>
            <w:rFonts w:ascii="Arial" w:hAnsi="Arial" w:cs="Arial"/>
            <w:color w:val="0000FF"/>
            <w:sz w:val="20"/>
            <w:szCs w:val="20"/>
          </w:rPr>
          <w:t>абзац первый</w:t>
        </w:r>
      </w:hyperlink>
      <w:r>
        <w:rPr>
          <w:rFonts w:ascii="Arial" w:hAnsi="Arial" w:cs="Arial"/>
          <w:sz w:val="20"/>
          <w:szCs w:val="20"/>
        </w:rPr>
        <w:t xml:space="preserve"> изложить в следующей редакции: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"31. Субъекты электроэнергетики, владеющие на праве собственности или ином законном основании объектом или объектами по производству электрической энергии и мощности, которые присоединены к ЕЭС России, в отношении каждого генерирующего объекта, установленная генерирующая мощность которого равна или превышает 25 МВт и в отношении которого не получено подтверждение о нераспространении требования о реализации производимой электрической энергии и мощности только на оптовом рынке в связи с его соответствием указанным в пунктах 32 или 33 настоящих Правил условиям, в соответствии с Федеральным </w:t>
      </w:r>
      <w:hyperlink r:id="rId1451" w:history="1">
        <w:r>
          <w:rPr>
            <w:rFonts w:ascii="Arial" w:hAnsi="Arial" w:cs="Arial"/>
            <w:color w:val="0000FF"/>
            <w:sz w:val="20"/>
            <w:szCs w:val="20"/>
          </w:rPr>
          <w:t>законом</w:t>
        </w:r>
      </w:hyperlink>
      <w:r>
        <w:rPr>
          <w:rFonts w:ascii="Arial" w:hAnsi="Arial" w:cs="Arial"/>
          <w:sz w:val="20"/>
          <w:szCs w:val="20"/>
        </w:rPr>
        <w:t xml:space="preserve"> "Об электроэнергетике" реализуют производимые электрическую энергию и мощность только на оптовом рынке.";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452" w:history="1">
        <w:r>
          <w:rPr>
            <w:rFonts w:ascii="Arial" w:hAnsi="Arial" w:cs="Arial"/>
            <w:color w:val="0000FF"/>
            <w:sz w:val="20"/>
            <w:szCs w:val="20"/>
          </w:rPr>
          <w:t>абзаце втором</w:t>
        </w:r>
      </w:hyperlink>
      <w:r>
        <w:rPr>
          <w:rFonts w:ascii="Arial" w:hAnsi="Arial" w:cs="Arial"/>
          <w:sz w:val="20"/>
          <w:szCs w:val="20"/>
        </w:rPr>
        <w:t xml:space="preserve"> слова "до 1 января 2012 г. " заменить словами "до 1 января 2013 г. ";</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453" w:history="1">
        <w:r>
          <w:rPr>
            <w:rFonts w:ascii="Arial" w:hAnsi="Arial" w:cs="Arial"/>
            <w:color w:val="0000FF"/>
            <w:sz w:val="20"/>
            <w:szCs w:val="20"/>
          </w:rPr>
          <w:t>дополнить</w:t>
        </w:r>
      </w:hyperlink>
      <w:r>
        <w:rPr>
          <w:rFonts w:ascii="Arial" w:hAnsi="Arial" w:cs="Arial"/>
          <w:sz w:val="20"/>
          <w:szCs w:val="20"/>
        </w:rPr>
        <w:t xml:space="preserve"> абзацем следующего содержания: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"Подтверждение о нераспространении на указанных субъектов требования Федерального </w:t>
      </w:r>
      <w:hyperlink r:id="rId1454" w:history="1">
        <w:r>
          <w:rPr>
            <w:rFonts w:ascii="Arial" w:hAnsi="Arial" w:cs="Arial"/>
            <w:color w:val="0000FF"/>
            <w:sz w:val="20"/>
            <w:szCs w:val="20"/>
          </w:rPr>
          <w:t>закона</w:t>
        </w:r>
      </w:hyperlink>
      <w:r>
        <w:rPr>
          <w:rFonts w:ascii="Arial" w:hAnsi="Arial" w:cs="Arial"/>
          <w:sz w:val="20"/>
          <w:szCs w:val="20"/>
        </w:rPr>
        <w:t xml:space="preserve"> "Об электроэнергетике" о реализации производимой электрической энергии и мощности только на оптовом рынке в связи с их соответствием указанным в пунктах 32 или 33 настоящих Правил условиям выдается советом рынка на основании решения и в порядке, установленном наблюдательным советом совета рынка.";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е) </w:t>
      </w:r>
      <w:hyperlink r:id="rId1455" w:history="1">
        <w:r>
          <w:rPr>
            <w:rFonts w:ascii="Arial" w:hAnsi="Arial" w:cs="Arial"/>
            <w:color w:val="0000FF"/>
            <w:sz w:val="20"/>
            <w:szCs w:val="20"/>
          </w:rPr>
          <w:t>пункт 39</w:t>
        </w:r>
      </w:hyperlink>
      <w:r>
        <w:rPr>
          <w:rFonts w:ascii="Arial" w:hAnsi="Arial" w:cs="Arial"/>
          <w:sz w:val="20"/>
          <w:szCs w:val="20"/>
        </w:rPr>
        <w:t xml:space="preserve"> изложить в следующей редакции: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"39. Решение об исключении организации - покупателя электрической энергии и мощности (за исключением гарантирующего поставщика) из реестра субъектов оптового рынка и (или) о прекращении в отношении нее в соответствии с пунктом 36 настоящих Правил поставки (покупки) электрической энергии и мощности на оптовом рынке вступает в силу в сроки, необходимые для заключения такой организацией либо обслуживаемыми ею потребителями договоров энергоснабжения (договоров купли-продажи (поставки) электрической энергии и (или) мощности) на розничном рынке в установленном законодательством Российской Федерации порядке, но не позднее чем через 60 календарных дней с даты принятия такого решения.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Решение об исключении организации - гарантирующего поставщика из реестра субъектов оптового рынка и (или) о прекращении в отношении нее в соответствии с пунктом 36 настоящих Правил поставки (покупки) электрической энергии и мощности на оптовом рынке вступает в силу с даты присвоения организации - победителю конкурса либо территориальной сетевой организации в соответствии с Основными положениями функционирования розничных рынков электрической энергии статуса гарантирующего поставщика, указанной в решении о присвоении статуса гарантирующего поставщика.";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ж) </w:t>
      </w:r>
      <w:hyperlink r:id="rId1456" w:history="1">
        <w:r>
          <w:rPr>
            <w:rFonts w:ascii="Arial" w:hAnsi="Arial" w:cs="Arial"/>
            <w:color w:val="0000FF"/>
            <w:sz w:val="20"/>
            <w:szCs w:val="20"/>
          </w:rPr>
          <w:t>абзац четвертый пункта 122</w:t>
        </w:r>
      </w:hyperlink>
      <w:r>
        <w:rPr>
          <w:rFonts w:ascii="Arial" w:hAnsi="Arial" w:cs="Arial"/>
          <w:sz w:val="20"/>
          <w:szCs w:val="20"/>
        </w:rPr>
        <w:t xml:space="preserve"> заменить текстом следующего содержания: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"Объем фактического пикового потребления определяется для каждого покупателя в отношении каждой группы точек поставки в порядке, определенном в договоре о присоединении к торговой системе оптового рынка, как среднее арифметическое значение фактических почасовых объемов потребления им электрической энергии в час максимальной фактической пиковой нагрузки для каждых рабочих суток расчетного периода для субъекта Российской Федерации, в котором расположены точки поставки покупателя, по всем таким часам расчетного периода, с учетом особенностей, установленных настоящими Правилами и договором о присоединении к торговой системе оптового рынка в отношении организации по </w:t>
      </w:r>
      <w:r>
        <w:rPr>
          <w:rFonts w:ascii="Arial" w:hAnsi="Arial" w:cs="Arial"/>
          <w:sz w:val="20"/>
          <w:szCs w:val="20"/>
        </w:rPr>
        <w:lastRenderedPageBreak/>
        <w:t>управлению единой национальной (общероссийской) электрической сетью и в отношении организаций - участников оптового рынка, осуществляющих экспортные операции.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Отнесение групп точек поставки к субъектам Российской Федерации производится в соответствии с договором о присоединении к торговой системе оптового рынка.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Час максимальной фактической пиковой нагрузки для субъекта Российской Федерации в отношении суток одинаков для всех покупателей в отношении точек поставки, расположенных в данном субъекте Российской Федерации, и определяется коммерческим оператором для каждых рабочих суток в порядке, определенном договором о присоединении к торговой системе оптового рынка, как час наибольшего суммарного потребления электрической энергии по этому субъекту Российской Федерации в установленные системным оператором плановые часы пиковой нагрузки. При этом час максимальной фактической пиковой нагрузки определяется единым для г. Москвы и Московской области, а также единым для г. Санкт-Петербурга и Ленинградской области.";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з) </w:t>
      </w:r>
      <w:hyperlink r:id="rId1457" w:history="1">
        <w:r>
          <w:rPr>
            <w:rFonts w:ascii="Arial" w:hAnsi="Arial" w:cs="Arial"/>
            <w:color w:val="0000FF"/>
            <w:sz w:val="20"/>
            <w:szCs w:val="20"/>
          </w:rPr>
          <w:t>пункт 167</w:t>
        </w:r>
      </w:hyperlink>
      <w:r>
        <w:rPr>
          <w:rFonts w:ascii="Arial" w:hAnsi="Arial" w:cs="Arial"/>
          <w:sz w:val="20"/>
          <w:szCs w:val="20"/>
        </w:rPr>
        <w:t xml:space="preserve"> дополнить абзацами следующего содержания: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этом результаты измерений должны обеспечивать определение объемов поставленной (потребленной) электрической энергии на границах балансовой принадлежности субъектов оптового рынка или потребителей (сетевых организаций), в интересах которых гарантирующий поставщик (энергосбытовая (энергоснабжающая) организация) осуществляет куплю-продажу электрической энергии и мощности на оптовом рынке, и иных участников оптового рынка.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Для участников оптового рынка, использующих результаты измерений, полученных с использованием средств измерений, расположенных не на границе балансовой принадлежности, объемы поставленной (потребленной) электрической энергии рассчитываются в порядке, определенном договором о присоединении к торговой системе оптового рынка. При этом при наличии средств измерений сетевой организации, расположенных на границе балансовой принадлежности, такой порядок может предусматривать корректировку объема поставленной (потребленной) электрической энергии на величину разницы между объемом, определенным с использованием средств измерений сетевой организации, расположенных на границе балансовой принадлежности, и объемом, полученным с использованием средств измерений участника оптового рынка, расположенных не на границе балансовой принадлежности.";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и) </w:t>
      </w:r>
      <w:hyperlink r:id="rId1458" w:history="1">
        <w:r>
          <w:rPr>
            <w:rFonts w:ascii="Arial" w:hAnsi="Arial" w:cs="Arial"/>
            <w:color w:val="0000FF"/>
            <w:sz w:val="20"/>
            <w:szCs w:val="20"/>
          </w:rPr>
          <w:t>абзац четвертый пункта 176</w:t>
        </w:r>
      </w:hyperlink>
      <w:r>
        <w:rPr>
          <w:rFonts w:ascii="Arial" w:hAnsi="Arial" w:cs="Arial"/>
          <w:sz w:val="20"/>
          <w:szCs w:val="20"/>
        </w:rPr>
        <w:t xml:space="preserve"> изложить в следующей редакции: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"Величина покупки мощности определяется организацией коммерческой инфраструктуры для каждого покупателя, функционирующего на территории неценовой зоны оптового рынка, как произведение объема фактического пикового потребления, рассчитываемого на основе значений объемов потребления электрической энергии покупателем в час максимальной фактической пиковой нагрузки для каждых рабочих суток расчетного периода, и соответствующего коэффициента резервирования мощности. До 31 декабря 2012 г. включительно час максимальной фактической пиковой нагрузки определяется для покупателя как час с максимальным объемом потребления электрической энергии из перечня устанавливаемых системным оператором плановых часов пиковой нагрузки. С 1 января 2013 г. час максимальной фактической пиковой нагрузки в отношении суток одинаков для всех покупателей в отношении групп точек поставки, расположенных в одном субъекте Российской Федерации, и определяется коммерческим оператором для каждых рабочих суток в порядке, определенном договором о присоединении к торговой системе оптового рынка, как час наибольшего суммарного потребления электрической энергии по данному субъекту Российской Федерации в установленные системным оператором плановые часы пиковой нагрузки.";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к) </w:t>
      </w:r>
      <w:hyperlink r:id="rId1459" w:history="1">
        <w:r>
          <w:rPr>
            <w:rFonts w:ascii="Arial" w:hAnsi="Arial" w:cs="Arial"/>
            <w:color w:val="0000FF"/>
            <w:sz w:val="20"/>
            <w:szCs w:val="20"/>
          </w:rPr>
          <w:t>абзацы пятый</w:t>
        </w:r>
      </w:hyperlink>
      <w:r>
        <w:rPr>
          <w:rFonts w:ascii="Arial" w:hAnsi="Arial" w:cs="Arial"/>
          <w:sz w:val="20"/>
          <w:szCs w:val="20"/>
        </w:rPr>
        <w:t xml:space="preserve"> - </w:t>
      </w:r>
      <w:hyperlink r:id="rId1460" w:history="1">
        <w:r>
          <w:rPr>
            <w:rFonts w:ascii="Arial" w:hAnsi="Arial" w:cs="Arial"/>
            <w:color w:val="0000FF"/>
            <w:sz w:val="20"/>
            <w:szCs w:val="20"/>
          </w:rPr>
          <w:t>седьмой пункта 179</w:t>
        </w:r>
      </w:hyperlink>
      <w:r>
        <w:rPr>
          <w:rFonts w:ascii="Arial" w:hAnsi="Arial" w:cs="Arial"/>
          <w:sz w:val="20"/>
          <w:szCs w:val="20"/>
        </w:rPr>
        <w:t xml:space="preserve"> заменить текстом следующего содержания: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"Цена на электрическую энергию в указанных договорах не должна превышать минимальную из следующих величин:</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предельный уровень регулируемых цен (тарифов), который устанавливается ежегодно федеральным органом исполнительной власти в области регулирования тарифов не позднее 1 декабря;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увеличенный в 2 раза тариф на электрическую энергию, установленный для поставщика электрической энергии по указанному договору.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В случае если цена на электрическую энергию в указанном договоре не превышает минимальную из указанных величин, указанный договор регистрируется и учитывается организацией коммерческой инфраструктуры для определения обязательств (требований) участников оптового рынка.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несоответствия этого договора требованиям настоящего пункта или внесения в него изменений, приводящих к превышению цены, указанной в договоре, над минимальной из указанных величин, указанный договор или изменения, вносимые в него, не регистрируются и не учитываются организацией коммерческой инфраструктуры.</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если цена на электрическую энергию в указанном договоре рассчитывается с использованием данных, полученных по результатам расчета фактических обязательств (требований) за расчетный период в неценовых зонах, и результаты расчетов свидетельствуют о том, что такая цена превышает минимальную из указанных величин, то при расчете стоимости электрической энергии по двустороннему договору применяется эта минимальная величина.";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л) </w:t>
      </w:r>
      <w:hyperlink r:id="rId1461" w:history="1">
        <w:r>
          <w:rPr>
            <w:rFonts w:ascii="Arial" w:hAnsi="Arial" w:cs="Arial"/>
            <w:color w:val="0000FF"/>
            <w:sz w:val="20"/>
            <w:szCs w:val="20"/>
          </w:rPr>
          <w:t>пункт 183</w:t>
        </w:r>
      </w:hyperlink>
      <w:r>
        <w:rPr>
          <w:rFonts w:ascii="Arial" w:hAnsi="Arial" w:cs="Arial"/>
          <w:sz w:val="20"/>
          <w:szCs w:val="20"/>
        </w:rPr>
        <w:t xml:space="preserve"> изложить в следующей редакции: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"183. Организация коммерческой инфраструктуры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настоящими Правилами, </w:t>
      </w:r>
      <w:hyperlink r:id="rId1462" w:history="1">
        <w:r>
          <w:rPr>
            <w:rFonts w:ascii="Arial" w:hAnsi="Arial" w:cs="Arial"/>
            <w:color w:val="0000FF"/>
            <w:sz w:val="20"/>
            <w:szCs w:val="20"/>
          </w:rPr>
          <w:t>Правилами</w:t>
        </w:r>
      </w:hyperlink>
      <w:r>
        <w:rPr>
          <w:rFonts w:ascii="Arial" w:hAnsi="Arial" w:cs="Arial"/>
          <w:sz w:val="20"/>
          <w:szCs w:val="20"/>
        </w:rPr>
        <w:t xml:space="preserve"> определения и применения гарантирующими поставщиками нерегулируемых цен на электрическую энергию (мощность), Основными положениями функционирования розничных рынков электрической энергии и договором о присоединении к торговой системе оптового рынка следующие составляющие предельных уровней нерегулируемых цен, дифференцированных по ценовым категориям: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средневзвешенная нерегулируемая цена на электрическую энергию на оптовом рынке, определяемая для соответствующего расчетного периода по результатам конкурентных отборов на сутки вперед и для балансирования системы;</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дифференцированная по зонам суток расчетного периода средневзвешенная нерегулируемая цена на электрическую энергию на оптовом рынке;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средневзвешенная нерегулируемая цена на мощность на оптовом рынке.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Значения показателей, используемых для расчета указанных составляющих предельных уровней нерегулируемых цен, определяются и учитываются в расчете составляющих предельных уровней нерегулируемых цен коммерческим оператором оптового рынка в отношении группы точек поставки гарантирующего поставщика в соответствии с настоящими Правилами и договором о присоединении к торговой системе оптового рынка.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Если гарантирующий поставщик приобретает на оптовом рынке электрическую энергию и мощность по нескольким группам точек поставки, зарегистрированным на оптовом рынке исходя из границ зоны его деятельности в качестве гарантирующего поставщика в пределах одного субъекта Российской Федерации, то перечисленные выше составляющие предельных уровней нерегулируемых цен определяются организацией коммерческой инфраструктуры оптового рынка по совокупности указанных групп точек поставки в порядке, определенном договором о присоединении к торговой системе оптового рынка.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Для определения указанных составляющих предельных уровней нерегулируемых цен в период действия в ценовой зоне (ценовых зонах) оптового рынка введенного в установленном порядке второго этапа государственного регулирования в электроэнергетике вместо равновесных цен на электрическую энергию, предусмотренных </w:t>
      </w:r>
      <w:hyperlink r:id="rId1463" w:history="1">
        <w:r>
          <w:rPr>
            <w:rFonts w:ascii="Arial" w:hAnsi="Arial" w:cs="Arial"/>
            <w:color w:val="0000FF"/>
            <w:sz w:val="20"/>
            <w:szCs w:val="20"/>
          </w:rPr>
          <w:t>Правилами</w:t>
        </w:r>
      </w:hyperlink>
      <w:r>
        <w:rPr>
          <w:rFonts w:ascii="Arial" w:hAnsi="Arial" w:cs="Arial"/>
          <w:sz w:val="20"/>
          <w:szCs w:val="20"/>
        </w:rPr>
        <w:t xml:space="preserve"> определения и применения гарантирующими поставщиками нерегулируемых цен на электрическую энергию (мощность), применяются величины стоимости единицы электрической энергии в субъекте Российской Федерации, определенные в соответствии с пунктом 99 настоящих Правил.";</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м) </w:t>
      </w:r>
      <w:hyperlink r:id="rId1464" w:history="1">
        <w:r>
          <w:rPr>
            <w:rFonts w:ascii="Arial" w:hAnsi="Arial" w:cs="Arial"/>
            <w:color w:val="0000FF"/>
            <w:sz w:val="20"/>
            <w:szCs w:val="20"/>
          </w:rPr>
          <w:t>пункты 184</w:t>
        </w:r>
      </w:hyperlink>
      <w:r>
        <w:rPr>
          <w:rFonts w:ascii="Arial" w:hAnsi="Arial" w:cs="Arial"/>
          <w:sz w:val="20"/>
          <w:szCs w:val="20"/>
        </w:rPr>
        <w:t xml:space="preserve"> - </w:t>
      </w:r>
      <w:hyperlink r:id="rId1465" w:history="1">
        <w:r>
          <w:rPr>
            <w:rFonts w:ascii="Arial" w:hAnsi="Arial" w:cs="Arial"/>
            <w:color w:val="0000FF"/>
            <w:sz w:val="20"/>
            <w:szCs w:val="20"/>
          </w:rPr>
          <w:t>191</w:t>
        </w:r>
      </w:hyperlink>
      <w:r>
        <w:rPr>
          <w:rFonts w:ascii="Arial" w:hAnsi="Arial" w:cs="Arial"/>
          <w:sz w:val="20"/>
          <w:szCs w:val="20"/>
        </w:rPr>
        <w:t xml:space="preserve"> признать утратившими силу;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н) </w:t>
      </w:r>
      <w:hyperlink r:id="rId1466" w:history="1">
        <w:r>
          <w:rPr>
            <w:rFonts w:ascii="Arial" w:hAnsi="Arial" w:cs="Arial"/>
            <w:color w:val="0000FF"/>
            <w:sz w:val="20"/>
            <w:szCs w:val="20"/>
          </w:rPr>
          <w:t>пункт 192</w:t>
        </w:r>
      </w:hyperlink>
      <w:r>
        <w:rPr>
          <w:rFonts w:ascii="Arial" w:hAnsi="Arial" w:cs="Arial"/>
          <w:sz w:val="20"/>
          <w:szCs w:val="20"/>
        </w:rPr>
        <w:t xml:space="preserve"> изложить в следующей редакции: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"192. Организацией коммерческой инфраструктуры в порядке, предусмотренном договором о присоединении к торговой системе оптового рынка, рассчитываются и подлежат опубликованию на ее официальном сайте в сети Интернет в течение 10 дней после окончания соответствующего расчетного периода, за исключением первого полугодия 2012 года, для которого сроки публикации устанавливаются договором о присоединении к торговой системе оптового рынка, следующие величины, определяемые в отношении группы точек поставки каждого гарантирующего поставщика (а в случае, если гарантирующий поставщик приобретает на оптовом рынке электрическую энергию и мощность по нескольким группам точек поставки в пределах одного субъекта Российской Федерации, - по совокупности указанных групп точек поставки):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составляющие предельных уровней нерегулируемых цен, указанные в пункте 183 настоящих Правил;</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фактический объем потребления электрической энергии гарантирующим поставщиком на оптовом рынке за соответствующий расчетный период;</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объем фактического пикового потребления гарантирующего поставщика на оптовом рынке за соответствующий расчетный период;</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коэффициент оплаты мощности для соответствующей зоны суток расчетного периода, определяемый в соответствии с Основными положениями функционирования розничных рынков электрической энергии и </w:t>
      </w:r>
      <w:hyperlink r:id="rId1467" w:history="1">
        <w:r>
          <w:rPr>
            <w:rFonts w:ascii="Arial" w:hAnsi="Arial" w:cs="Arial"/>
            <w:color w:val="0000FF"/>
            <w:sz w:val="20"/>
            <w:szCs w:val="20"/>
          </w:rPr>
          <w:t>Правилами</w:t>
        </w:r>
      </w:hyperlink>
      <w:r>
        <w:rPr>
          <w:rFonts w:ascii="Arial" w:hAnsi="Arial" w:cs="Arial"/>
          <w:sz w:val="20"/>
          <w:szCs w:val="20"/>
        </w:rPr>
        <w:t xml:space="preserve"> определения и применения гарантирующими поставщиками нерегулируемых цен на электрическую энергию (мощность);</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максимальный час фактической пиковой нагрузки для каждых рабочих суток расчетного периода для субъектов Российской Федерации;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цены и объемы электрической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величина корректировки составляющей предельного уровня нерегулируемых цен при учете свободного договора купли-продажи электрической энергии, определяемой в соответствии с договором о присоединении к торговой системе оптового рынка.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Указанные в настоящем пункте величины рассчитываются организацией коммерческой инфраструктуры оптового рынка исходя из данных, которыми она располагает на момент расчета.".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4. В </w:t>
      </w:r>
      <w:hyperlink r:id="rId1468" w:history="1">
        <w:r>
          <w:rPr>
            <w:rFonts w:ascii="Arial" w:hAnsi="Arial" w:cs="Arial"/>
            <w:color w:val="0000FF"/>
            <w:sz w:val="20"/>
            <w:szCs w:val="20"/>
          </w:rPr>
          <w:t>постановлении</w:t>
        </w:r>
      </w:hyperlink>
      <w:r>
        <w:rPr>
          <w:rFonts w:ascii="Arial" w:hAnsi="Arial" w:cs="Arial"/>
          <w:sz w:val="20"/>
          <w:szCs w:val="20"/>
        </w:rPr>
        <w:t xml:space="preserve"> Правительства Российской Федерации от 29 декабря 2011 г. N 1178 "О ценообразовании в области регулируемых цен (тарифов) в электроэнергетике" (Собрание законодательства Российской Федерации, 2012, N 4, ст. 504; N 16, ст. 1883):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а) </w:t>
      </w:r>
      <w:hyperlink r:id="rId1469" w:history="1">
        <w:r>
          <w:rPr>
            <w:rFonts w:ascii="Arial" w:hAnsi="Arial" w:cs="Arial"/>
            <w:color w:val="0000FF"/>
            <w:sz w:val="20"/>
            <w:szCs w:val="20"/>
          </w:rPr>
          <w:t>пункт 3</w:t>
        </w:r>
      </w:hyperlink>
      <w:r>
        <w:rPr>
          <w:rFonts w:ascii="Arial" w:hAnsi="Arial" w:cs="Arial"/>
          <w:sz w:val="20"/>
          <w:szCs w:val="20"/>
        </w:rPr>
        <w:t xml:space="preserve"> изложить в следующей редакции: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Органам исполнительной власти субъектов Российской Федерации в области государственного регулирования тарифов: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а) до 1 июня 2012 г. принять решения об установлении (пересмотре) с 1 июля 2012 г.:</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долгосрочных параметров регулирования деятельности территориальных сетевых организаций, доля Российской Федерации, субъекта Российской Федерации и открытого акционерного общества "Холдинг МРСК" в уставном капитале которых в совокупности составляет не менее 50 процентов плюс одна голосующая акция, а также иных территориальных сетевых организаций, в отношении которых применяется в том числе метод долгосрочной индексации необходимой валовой выручки, при условии согласования с Федеральной службой по тарифам соответствующих долгосрочных параметров регулирования деятельности организаций, в отношении которых применяется метод доходности инвестированного капитала;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тарифов на услуги по передаче электрической энергии по электрическим сетям, принадлежащим на праве собственности или на ином законном основании территориальным сетевым организациям, на второе полугодие 2012 года.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Установление (пересмотр) осуществить исходя из увеличения с 1 июля 2012 г. не более чем на 11 процентов среднего по субъекту Российской Федерации одноставочного котлового тарифа на услуги по передаче электрической энергии по электрическим сетям, принадлежащим на праве собственности или на ином законном основании территориальным сетевым организациям, по отношению к уровню среднего по субъекту Российской Федерации одноставочного котлового тарифа по состоянию на дату принятия решений о пересмотре (установлении) с 1 июля 2012 г.;</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б) установить (пересмотреть) с 1 июля 2012 г.:</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сбытовые надбавки гарантирующих поставщиков на второе полугодие 2012 года;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цены (тарифы) на электрическую энергию (мощность), поставляемую покупателям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потребителей, на второе полугодие 2012 года, исходя из их увеличения с 1 июля 2012 г. не более чем на 11 процентов по отношению к уровню соответствующих цен (тарифов), установленных на дату их установления (пересмотра) с 1 июля 2012 г. ";</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б) </w:t>
      </w:r>
      <w:hyperlink r:id="rId1470" w:history="1">
        <w:r>
          <w:rPr>
            <w:rFonts w:ascii="Arial" w:hAnsi="Arial" w:cs="Arial"/>
            <w:color w:val="0000FF"/>
            <w:sz w:val="20"/>
            <w:szCs w:val="20"/>
          </w:rPr>
          <w:t>пункт 10</w:t>
        </w:r>
      </w:hyperlink>
      <w:r>
        <w:rPr>
          <w:rFonts w:ascii="Arial" w:hAnsi="Arial" w:cs="Arial"/>
          <w:sz w:val="20"/>
          <w:szCs w:val="20"/>
        </w:rPr>
        <w:t xml:space="preserve"> изложить в следующей редакции: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"10. Установить, что корректировка цен (тарифов) на услуги по передаче электрической энергии, связанная с учетом степени загрузки центров питания, осуществляется с даты начала оплаты резервируемой максимальной мощности потребителями электрической энергии, определенной в соответствии с актом Правительства Российской Федерации, устанавливающим особенности определения стоимости услуг по передаче электрической энергии с учетом оплаты резервируемой максимальной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471" w:history="1">
        <w:r>
          <w:rPr>
            <w:rFonts w:ascii="Arial" w:hAnsi="Arial" w:cs="Arial"/>
            <w:color w:val="0000FF"/>
            <w:sz w:val="20"/>
            <w:szCs w:val="20"/>
          </w:rPr>
          <w:t>пункт 11</w:t>
        </w:r>
      </w:hyperlink>
      <w:r>
        <w:rPr>
          <w:rFonts w:ascii="Arial" w:hAnsi="Arial" w:cs="Arial"/>
          <w:sz w:val="20"/>
          <w:szCs w:val="20"/>
        </w:rPr>
        <w:t xml:space="preserve"> дополнить абзацем следующего содержания: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"Положения пункта 65(1) Основ ценообразования в области регулируемых цен (тарифов) в электроэнергетике, утвержденных настоящим постановлением, применяются при государственном регулировании сбытовых надбавок гарантирующих поставщиков с даты вступления в силу в установленном порядке методических указаний по расчету сбытовых надбавок гарантирующих поставщиков, в том числе определяющих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 утверждаемых Федеральной службой по тарифам.";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г) в </w:t>
      </w:r>
      <w:hyperlink r:id="rId1472" w:history="1">
        <w:r>
          <w:rPr>
            <w:rFonts w:ascii="Arial" w:hAnsi="Arial" w:cs="Arial"/>
            <w:color w:val="0000FF"/>
            <w:sz w:val="20"/>
            <w:szCs w:val="20"/>
          </w:rPr>
          <w:t>Основах</w:t>
        </w:r>
      </w:hyperlink>
      <w:r>
        <w:rPr>
          <w:rFonts w:ascii="Arial" w:hAnsi="Arial" w:cs="Arial"/>
          <w:sz w:val="20"/>
          <w:szCs w:val="20"/>
        </w:rPr>
        <w:t xml:space="preserve"> ценообразования в области регулируемых цен (тарифов) в электроэнергетике, утвержденных указанным постановлением: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473" w:history="1">
        <w:r>
          <w:rPr>
            <w:rFonts w:ascii="Arial" w:hAnsi="Arial" w:cs="Arial"/>
            <w:color w:val="0000FF"/>
            <w:sz w:val="20"/>
            <w:szCs w:val="20"/>
          </w:rPr>
          <w:t>подпункт 7 пункта 18</w:t>
        </w:r>
      </w:hyperlink>
      <w:r>
        <w:rPr>
          <w:rFonts w:ascii="Arial" w:hAnsi="Arial" w:cs="Arial"/>
          <w:sz w:val="20"/>
          <w:szCs w:val="20"/>
        </w:rPr>
        <w:t xml:space="preserve"> дополнить словами ", за исключением расходов сетевых организаций на установку приборов учета в соответствии с законодательством Российской Федерации об энергосбережении и о повышении энергетической эффективности для потребителей услуг";</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абзацы третий - пятый утратили силу. - </w:t>
      </w:r>
      <w:hyperlink r:id="rId1474" w:history="1">
        <w:r>
          <w:rPr>
            <w:rFonts w:ascii="Arial" w:hAnsi="Arial" w:cs="Arial"/>
            <w:color w:val="0000FF"/>
            <w:sz w:val="20"/>
            <w:szCs w:val="20"/>
          </w:rPr>
          <w:t>Постановление</w:t>
        </w:r>
      </w:hyperlink>
      <w:r>
        <w:rPr>
          <w:rFonts w:ascii="Arial" w:hAnsi="Arial" w:cs="Arial"/>
          <w:sz w:val="20"/>
          <w:szCs w:val="20"/>
        </w:rPr>
        <w:t xml:space="preserve"> Правительства РФ от 07.03.2020 N 246;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475" w:history="1">
        <w:r>
          <w:rPr>
            <w:rFonts w:ascii="Arial" w:hAnsi="Arial" w:cs="Arial"/>
            <w:color w:val="0000FF"/>
            <w:sz w:val="20"/>
            <w:szCs w:val="20"/>
          </w:rPr>
          <w:t>абзацы четвертый</w:t>
        </w:r>
      </w:hyperlink>
      <w:r>
        <w:rPr>
          <w:rFonts w:ascii="Arial" w:hAnsi="Arial" w:cs="Arial"/>
          <w:sz w:val="20"/>
          <w:szCs w:val="20"/>
        </w:rPr>
        <w:t xml:space="preserve"> и </w:t>
      </w:r>
      <w:hyperlink r:id="rId1476" w:history="1">
        <w:r>
          <w:rPr>
            <w:rFonts w:ascii="Arial" w:hAnsi="Arial" w:cs="Arial"/>
            <w:color w:val="0000FF"/>
            <w:sz w:val="20"/>
            <w:szCs w:val="20"/>
          </w:rPr>
          <w:t>пятый пункта 60</w:t>
        </w:r>
      </w:hyperlink>
      <w:r>
        <w:rPr>
          <w:rFonts w:ascii="Arial" w:hAnsi="Arial" w:cs="Arial"/>
          <w:sz w:val="20"/>
          <w:szCs w:val="20"/>
        </w:rPr>
        <w:t xml:space="preserve"> признать утратившими силу;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477" w:history="1">
        <w:r>
          <w:rPr>
            <w:rFonts w:ascii="Arial" w:hAnsi="Arial" w:cs="Arial"/>
            <w:color w:val="0000FF"/>
            <w:sz w:val="20"/>
            <w:szCs w:val="20"/>
          </w:rPr>
          <w:t>абзацы третий</w:t>
        </w:r>
      </w:hyperlink>
      <w:r>
        <w:rPr>
          <w:rFonts w:ascii="Arial" w:hAnsi="Arial" w:cs="Arial"/>
          <w:sz w:val="20"/>
          <w:szCs w:val="20"/>
        </w:rPr>
        <w:t xml:space="preserve"> и </w:t>
      </w:r>
      <w:hyperlink r:id="rId1478" w:history="1">
        <w:r>
          <w:rPr>
            <w:rFonts w:ascii="Arial" w:hAnsi="Arial" w:cs="Arial"/>
            <w:color w:val="0000FF"/>
            <w:sz w:val="20"/>
            <w:szCs w:val="20"/>
          </w:rPr>
          <w:t>четвертый пункта 61</w:t>
        </w:r>
      </w:hyperlink>
      <w:r>
        <w:rPr>
          <w:rFonts w:ascii="Arial" w:hAnsi="Arial" w:cs="Arial"/>
          <w:sz w:val="20"/>
          <w:szCs w:val="20"/>
        </w:rPr>
        <w:t xml:space="preserve"> заменить текстом следующего содержания: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"За исключением случаев, указанных в абзацах первом и втором настоящего пункта, изменение прогнозного баланса, связанное с первым определением и (или) изменением прогнозных объемов в отношении субъектов оптового рынка, не осуществляющих покупку (поставку) электрической энергии и (или) мощности на оптовом рынке с применением регулируемых цен (тарифов) в соответствии с </w:t>
      </w:r>
      <w:hyperlink r:id="rId1479" w:history="1">
        <w:r>
          <w:rPr>
            <w:rFonts w:ascii="Arial" w:hAnsi="Arial" w:cs="Arial"/>
            <w:color w:val="0000FF"/>
            <w:sz w:val="20"/>
            <w:szCs w:val="20"/>
          </w:rPr>
          <w:t>Правилами</w:t>
        </w:r>
      </w:hyperlink>
      <w:r>
        <w:rPr>
          <w:rFonts w:ascii="Arial" w:hAnsi="Arial" w:cs="Arial"/>
          <w:sz w:val="20"/>
          <w:szCs w:val="20"/>
        </w:rPr>
        <w:t xml:space="preserve"> оптового рынка электрической энергии и мощности, осуществляется на второе полугодие 2012 г. однократно, а на IV квартал 2012 г. и начиная с 2013 г. может осуществляться не чаще 1 раза в квартал (за исключением I квартала, прогнозные объемы на который определяются в рамках решений, принимаемых в соответствии с пунктом 60 настоящего документа). Изменение прогнозного баланса на второе полугодие 2012 г. осуществляется также в отношении сетевых организаций, для которых на 2012 год определены нулевые значения прогнозных объемов покупки электрической энергии в целях компенсации потерь. Указанные решения принимаются не позднее чем за 10 календарных дней до начала очередного квартала (на второе полугодие 2012 г. - не позднее 1 июня, а в части определения прогнозных объемов поставки электрической энергии и (или) мощности на оптовый рынок - до 1 июля) и содержат одновременное изменение прогнозных объемов в отношении субъектов оптового рынка, осуществляющих покупку электрической энергии и (или) мощности на оптовом рынке с применением регулируемых цен (тарифов), обусловленное изменением объемов электрической энергии и (или) мощности, приобретаемых такими субъектами на оптовом рынке. Кроме того, изменение прогнозного баланса на второе полугодие 2012 г. осуществляется в отношении величин технологического расхода (потерь) электрической энергии территориальных сетевых организаций с принятием соответствующих решений до 1 июля 2012 г. ";</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480" w:history="1">
        <w:r>
          <w:rPr>
            <w:rFonts w:ascii="Arial" w:hAnsi="Arial" w:cs="Arial"/>
            <w:color w:val="0000FF"/>
            <w:sz w:val="20"/>
            <w:szCs w:val="20"/>
          </w:rPr>
          <w:t>пункте 63</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481" w:history="1">
        <w:r>
          <w:rPr>
            <w:rFonts w:ascii="Arial" w:hAnsi="Arial" w:cs="Arial"/>
            <w:color w:val="0000FF"/>
            <w:sz w:val="20"/>
            <w:szCs w:val="20"/>
          </w:rPr>
          <w:t>абзац четвертый</w:t>
        </w:r>
      </w:hyperlink>
      <w:r>
        <w:rPr>
          <w:rFonts w:ascii="Arial" w:hAnsi="Arial" w:cs="Arial"/>
          <w:sz w:val="20"/>
          <w:szCs w:val="20"/>
        </w:rPr>
        <w:t xml:space="preserve"> дополнить предложением следующего содержания: "При этом размер таких надбавок определяется в соответствии с </w:t>
      </w:r>
      <w:hyperlink w:anchor="Par596" w:history="1">
        <w:r>
          <w:rPr>
            <w:rFonts w:ascii="Arial" w:hAnsi="Arial" w:cs="Arial"/>
            <w:color w:val="0000FF"/>
            <w:sz w:val="20"/>
            <w:szCs w:val="20"/>
          </w:rPr>
          <w:t>пунктами 65</w:t>
        </w:r>
      </w:hyperlink>
      <w:r>
        <w:rPr>
          <w:rFonts w:ascii="Arial" w:hAnsi="Arial" w:cs="Arial"/>
          <w:sz w:val="20"/>
          <w:szCs w:val="20"/>
        </w:rPr>
        <w:t xml:space="preserve"> и 65(1) настоящего документа;";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482" w:history="1">
        <w:r>
          <w:rPr>
            <w:rFonts w:ascii="Arial" w:hAnsi="Arial" w:cs="Arial"/>
            <w:color w:val="0000FF"/>
            <w:sz w:val="20"/>
            <w:szCs w:val="20"/>
          </w:rPr>
          <w:t>дополнить</w:t>
        </w:r>
      </w:hyperlink>
      <w:r>
        <w:rPr>
          <w:rFonts w:ascii="Arial" w:hAnsi="Arial" w:cs="Arial"/>
          <w:sz w:val="20"/>
          <w:szCs w:val="20"/>
        </w:rPr>
        <w:t xml:space="preserve"> пунктом 65(1) следующего содержания: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"65(1). Сбытовые надбавки устанавливаются для следующих групп (подгрупп) потребителей: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население и приравненные к нему категории потребителей;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сетевые организации, покупающие электрическую энергию для компенсации потерь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прочие потребители, дифференцированно по подгруппам, предусмотренным методическими указаниями по расчету сбытовых надбавок гарантирующих поставщиков, в том числе определяющих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 (далее - методические указания по расчету сбытовых надбавок гарантирующих поставщиков) в зависимости от величины максимальной мощности принадлежащих им энергопринимающих устройств (менее 100 кВт, от 100 до 670 кВт, от 670 кВт до 10 МВт, не менее 10 МВт). При этом величина сбытовой надбавки устанавливается в зависимости от территориальных, зональных и иных параметров деятельности гарантирующих поставщиков в соответствии с методическими указаниями по расчету сбытовых надбавок гарантирующих поставщиков.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Сбытовые надбавки в отношении населения и приравненных к нему категорий потребителей, а также в отношении сетевых организаций могут дифференцироваться в соответствии с методическими указаниями, утверждаемыми в соответствии с настоящим документом.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Сбытовые надбавки в отношении населения и приравненных к нему категорий потребителей устанавливаются органами исполнительной власти субъектов Российской Федерации в области государственного регулирования тарифов исходя из экономически обоснованных расходов соответствующего гарантирующего поставщика, связанных с обслуживанием указанной группы потребителей, в том числе финансируемых за счет прибыли, в порядке, предусмотренном методическими указаниями по расчету сбытовых надбавок гарантирующих поставщиков, утверждаемыми в соответствии с настоящим документом.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Сбытовые надбавки гарантирующих поставщиков в отношении прочих потребителей устанавливаются органами исполнительной власти субъектов Российской Федерации в области государственного регулирования тарифов в виде формулы, как процент от цен (тарифов) на электрическую энергию и (или) мощность, которые рассчитываются в порядке, установленном методическими указаниями по расчету сбытовых надбавок гарантирующих поставщиков, утверждаемыми в соответствии с настоящим документом, исходя из размера доходности продаж по каждой из групп (подгрупп) потребителей.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Для гарантирующих поставщиков, действующих на территориях, объединенных в ценовые зоны оптового рынка, под ценами (тарифами) на электрическую энергию и (или) мощность понимаются указанные в методических указаниях по расчету сбытовых надбавок гарантирующих поставщиков, утверждаемых в соответствии с настоящим документом, составляющие нерегулируемых цен на электрическую энергию и (или) мощность (составляющие предельных уровней нерегулируемых цен) для ценовой категории, к которой относится потребитель. Сбытовые надбавки применяются к тем же объемам, что и указанные выше составляющие нерегулируемых цен на электрическую энергию и (или) мощность (составляющие предельных уровней нерегулируемых цен).</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На территориях, не объединенных в ценовые зоны оптового рынка, сбытовые надбавки гарантирующих поставщиков в отношении указанных групп потребителей устанавливаются в соответствии с методическими указаниями по расчету сбытовых надбавок гарантирующих поставщиков, утверждаемыми в соответствии с настоящим документом, в рублях за единицу электрической энергии и (или) мощности и учитываются при установлении регулируемых цен (тарифов) на электрическую энергию (мощность).</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Сбытовые надбавки гарантирующих поставщиков в отношении сетевых организаций устанавливаются органами исполнительной власти субъектов Российской Федерации в области государственного регулирования тарифов в рублях за единицу электрической энергии и (или) мощности исходя из средневзвешенной доходности продаж и прогнозируемой стоимости 1 киловатт-часа электрической энергии и мощности, которые приобретаются на оптовом и розничном рынках в целях компенсации потерь электрической энергии, с учетом особенностей, установленных методическими указаниями по расчету сбытовых надбавок гарантирующих поставщиков, утверждаемыми в соответствии с настоящим документом.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Размер доходности продаж гарантирующих поставщиков устанавливается в методических указаниях по расчету сбытовых надбавок гарантирующих поставщиков, утверждаемых в соответствии с настоящим документом, в зависимости от следующих параметров деятельности гарантирующих поставщиков: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объем электрической энергии (мощности), поставляемой гарантирующим поставщиком потребителям и сетевым организациям;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доля потребления населением и приравненными к нему категориями потребителей в объеме электрической энергии (мощности), поставляемой гарантирующим поставщиком потребителям и сетевым организациям;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территориальные особенности зоны деятельности гарантирующего поставщика.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расчете сбытовых надбавок в отношении населения и приравненных к нему категорий потребителей, а также при определении размера доходности продаж гарантирующих поставщиков учитываются следующие расходы, связанные с обеспечением предпринимательской деятельности в качестве гарантирующего поставщика в отношении соответствующих групп (подгрупп) потребителей (покупателей):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расходы на осуществление деятельности гарантирующего поставщика и обеспечение соблюдения стандартов по качеству обслуживания потребителей (покупателей) электрической энергии, соответствующих требованиям, установленным Основными положениями функционирования розничных рынков электрической энергии, в том числе расходы на создание центров очного и заочного обслуживания </w:t>
      </w:r>
      <w:r>
        <w:rPr>
          <w:rFonts w:ascii="Arial" w:hAnsi="Arial" w:cs="Arial"/>
          <w:sz w:val="20"/>
          <w:szCs w:val="20"/>
        </w:rPr>
        <w:lastRenderedPageBreak/>
        <w:t>потребителей, ведение баз данных потребителей в соответствии с требованиями законодательства Российской Федерации о защите персональных данных, обеспечение размещения необходимой потребителям информации, обеспечение различных способов внесения платы и комиссионное вознаграждение за сбор платежей, а также расходы, связанные с выполнением иных обязательных требований в соответствии с законодательством Российской Федерации;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расходы гарантирующего поставщика, связанные с организацией принятия им на обслуживание покупателей электрической энергии с применением особого порядка и совершением иных действий, подлежащих исполнению в соответствии с Основными положениями функционирования розничных рынков электрической энергии, включая расходы на обслуживание заемных средств;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расходы на обслуживание кредитов, необходимых для поддержания достаточного размера оборотного капитала при просрочке платежей со стороны покупателей электрической энергии (мощности), а также кредитов, привлекаемых для целей обеспечения стандартов качества обслуживания;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расходы на формирование резерва по сомнительным долгам, а в отсутствие такого резерва - расходы по списанию задолженности, признанной безнадежной к взысканию в предшествующий период регулирования.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расчете сбытовых надбавок в отношении населения и приравненных к нему категорий потребителей расходы на формирование резерва по сомнительным долгам учитываются исходя из динамики дебиторской задолженности за предшествующий год.</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Расходы на обслуживание кредитов, необходимых для поддержания достаточного размера оборотного капитала при просрочке платежей со стороны покупателей электрической энергии (мощности), учитываются исходя из процентной ставки, не превышающей средней ставки рефинансирования, рассчитанной на основании установленных Центральным банком Российской Федерации на год, предшествующий расчетному периоду регулирования, увеличенной на 4 процентных пункта.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смены в соответствии с Основными положениями функционирования розничных рынков электрической энергии гарантирующего поставщика в течение периода регулирования до начала следующего периода регулирования применяются сбытовые надбавки, установленные для организации, ранее осуществлявшей функции гарантирующего поставщика. С начала следующего расчетного периода регулирования применяются сбытовые надбавки, установленные органом исполнительной власти субъекта Российской Федерации в области государственного регулирования тарифов, в том числе с учетом уровня доходности продаж, указанного в заявке на участие в конкурсе организации, которой присвоен статус гарантирующего поставщика по результатам конкурса в соответствии с Основными положениями функционирования розничных рынков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483" w:history="1">
        <w:r>
          <w:rPr>
            <w:rFonts w:ascii="Arial" w:hAnsi="Arial" w:cs="Arial"/>
            <w:color w:val="0000FF"/>
            <w:sz w:val="20"/>
            <w:szCs w:val="20"/>
          </w:rPr>
          <w:t>пункт 70</w:t>
        </w:r>
      </w:hyperlink>
      <w:r>
        <w:rPr>
          <w:rFonts w:ascii="Arial" w:hAnsi="Arial" w:cs="Arial"/>
          <w:sz w:val="20"/>
          <w:szCs w:val="20"/>
        </w:rPr>
        <w:t xml:space="preserve"> дополнить абзацем следующего содержания: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"Выбор варианта цены (тарифа) производится потребителем путем направления письменного уведомления гарантирующему поставщику (энергосбытовой, энергоснабжающей организации) с даты, указанной в уведомлении, но не ранее даты ввода в эксплуатацию соответствующих приборов учета, позволяющих получать данные о потреблении электрической энергии по зонам суток (при выборе одноставочной, дифференцированной по 2 и 3 зонам суток цены (тарифа)).";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абзацы тридцать шестой - пятьдесят первый утратили силу. - </w:t>
      </w:r>
      <w:hyperlink r:id="rId1484" w:history="1">
        <w:r>
          <w:rPr>
            <w:rFonts w:ascii="Arial" w:hAnsi="Arial" w:cs="Arial"/>
            <w:color w:val="0000FF"/>
            <w:sz w:val="20"/>
            <w:szCs w:val="20"/>
          </w:rPr>
          <w:t>Постановление</w:t>
        </w:r>
      </w:hyperlink>
      <w:r>
        <w:rPr>
          <w:rFonts w:ascii="Arial" w:hAnsi="Arial" w:cs="Arial"/>
          <w:sz w:val="20"/>
          <w:szCs w:val="20"/>
        </w:rPr>
        <w:t xml:space="preserve"> Правительства РФ от 30.01.2019 N 64;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485" w:history="1">
        <w:r>
          <w:rPr>
            <w:rFonts w:ascii="Arial" w:hAnsi="Arial" w:cs="Arial"/>
            <w:color w:val="0000FF"/>
            <w:sz w:val="20"/>
            <w:szCs w:val="20"/>
          </w:rPr>
          <w:t>абзаце восьмом пункта 80</w:t>
        </w:r>
      </w:hyperlink>
      <w:r>
        <w:rPr>
          <w:rFonts w:ascii="Arial" w:hAnsi="Arial" w:cs="Arial"/>
          <w:sz w:val="20"/>
          <w:szCs w:val="20"/>
        </w:rP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в соответствии с Правилами недискриминационного доступа к услугам по передаче электрической энергии и оказания этих услуг" заменить словами "определяемая в соответствии с </w:t>
      </w:r>
      <w:hyperlink r:id="rId1486" w:history="1">
        <w:r>
          <w:rPr>
            <w:rFonts w:ascii="Arial" w:hAnsi="Arial" w:cs="Arial"/>
            <w:color w:val="0000FF"/>
            <w:sz w:val="20"/>
            <w:szCs w:val="20"/>
          </w:rPr>
          <w:t>Правилами</w:t>
        </w:r>
      </w:hyperlink>
      <w:r>
        <w:rPr>
          <w:rFonts w:ascii="Arial" w:hAnsi="Arial" w:cs="Arial"/>
          <w:sz w:val="20"/>
          <w:szCs w:val="20"/>
        </w:rPr>
        <w:t xml:space="preserve"> недискриминационного доступа к услугам по передаче электрической энергии и оказания этих услуг и прогнозным балансом";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487" w:history="1">
        <w:r>
          <w:rPr>
            <w:rFonts w:ascii="Arial" w:hAnsi="Arial" w:cs="Arial"/>
            <w:color w:val="0000FF"/>
            <w:sz w:val="20"/>
            <w:szCs w:val="20"/>
          </w:rPr>
          <w:t>пункте 81</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488" w:history="1">
        <w:r>
          <w:rPr>
            <w:rFonts w:ascii="Arial" w:hAnsi="Arial" w:cs="Arial"/>
            <w:color w:val="0000FF"/>
            <w:sz w:val="20"/>
            <w:szCs w:val="20"/>
          </w:rPr>
          <w:t>абзаце третьем</w:t>
        </w:r>
      </w:hyperlink>
      <w:r>
        <w:rPr>
          <w:rFonts w:ascii="Arial" w:hAnsi="Arial" w:cs="Arial"/>
          <w:sz w:val="20"/>
          <w:szCs w:val="20"/>
        </w:rP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в соответствии с Правилами недискриминационного доступа к услугам по передаче электрической энергии и оказания этих услуг" </w:t>
      </w:r>
      <w:r>
        <w:rPr>
          <w:rFonts w:ascii="Arial" w:hAnsi="Arial" w:cs="Arial"/>
          <w:sz w:val="20"/>
          <w:szCs w:val="20"/>
        </w:rPr>
        <w:lastRenderedPageBreak/>
        <w:t xml:space="preserve">заменить словами "определяемая в соответствии с </w:t>
      </w:r>
      <w:hyperlink r:id="rId1489" w:history="1">
        <w:r>
          <w:rPr>
            <w:rFonts w:ascii="Arial" w:hAnsi="Arial" w:cs="Arial"/>
            <w:color w:val="0000FF"/>
            <w:sz w:val="20"/>
            <w:szCs w:val="20"/>
          </w:rPr>
          <w:t>Правилами</w:t>
        </w:r>
      </w:hyperlink>
      <w:r>
        <w:rPr>
          <w:rFonts w:ascii="Arial" w:hAnsi="Arial" w:cs="Arial"/>
          <w:sz w:val="20"/>
          <w:szCs w:val="20"/>
        </w:rPr>
        <w:t xml:space="preserve"> недискриминационного доступа к услугам по передаче электрической энергии и оказания этих услуг и прогнозным балансом";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490" w:history="1">
        <w:r>
          <w:rPr>
            <w:rFonts w:ascii="Arial" w:hAnsi="Arial" w:cs="Arial"/>
            <w:color w:val="0000FF"/>
            <w:sz w:val="20"/>
            <w:szCs w:val="20"/>
          </w:rPr>
          <w:t>абзац пятнадцатый</w:t>
        </w:r>
      </w:hyperlink>
      <w:r>
        <w:rPr>
          <w:rFonts w:ascii="Arial" w:hAnsi="Arial" w:cs="Arial"/>
          <w:sz w:val="20"/>
          <w:szCs w:val="20"/>
        </w:rPr>
        <w:t xml:space="preserve"> заменить текстом следующего содержания: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"Для расчетов за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потребители (за исключением населения и (или) приравненных к нему категорий потребителей, потребителей, энергопринимающие устройства которых непосредственно присоединены к переданным по согласованию в установленном порядке с уполномоченным федеральным органом исполнительной власти в аренду территориальным сетевым организациям объектам электросетевого хозяйства, входящим в единую национальную (общероссийскую) электрическую сеть, или гарантирующих поставщиков (энергосбытовых организаций, энергоснабжающих организаций), действующих в интересах указанных потребителей), а также до 31 декабря 2012 г. включительно гарантирующие поставщики (энергосбытовые организации, энергоснабжающие организациями), действующие в интересах указанных потребителей, самостоятельно выбирают вариант тарифа на период регулирования путем направления письменного уведомления в сетевую организацию (гарантирующему поставщику (энергосбытовой организации, энергоснабжающей организации), действующему в интересах указанных потребителей) в течение 1 месяца со дня официального опубликования решений органов исполнительной власти субъектов Российской Федерации в области государственного регулирования тарифов об установлении соответствующих цен (тарифов). Указанные лица вправе (в том числе в течение периода регулирования) выбрать двухставочную цену (тариф), если энергопринимающие устройства, в отношении которых оказываются услуги по передаче электрической энергии, оборудованы приборами учета, позволяющими получать данные о потреблении электрической энергии по часам суток со дня, указанного в уведомлении, но не ранее дня ввода в эксплуатацию соответствующих приборов учета. Выбранный вариант тарифа применяется для расчетов за услуги по передаче электрической энергии со дня введения в действие указанных тарифов.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Гарантирующие поставщики (энергосбытовые организации, энергоснабжающие организации) обязаны в течение 5 дней со дня получения соответствующего уведомления потребителя направить информацию о выбранном варианте тарифа в сетевую организацию, с которой заключен договор на оказание услуг по передаче электрической энергии в интересах данного потребителя.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Гарантирующие поставщики (энергосбытовые организации, энергоснабжающие организации) в расчетах за услуги по передаче электрической энергии, оказанные территориальными сетевыми организациями, начиная с 1 января 2013 г. применяют только цены (тарифы), выбранные обслуживаемыми ими потребителями в соответствии с настоящим пунктом.";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после </w:t>
      </w:r>
      <w:hyperlink r:id="rId1491" w:history="1">
        <w:r>
          <w:rPr>
            <w:rFonts w:ascii="Arial" w:hAnsi="Arial" w:cs="Arial"/>
            <w:color w:val="0000FF"/>
            <w:sz w:val="20"/>
            <w:szCs w:val="20"/>
          </w:rPr>
          <w:t>абзаца семнадцатого</w:t>
        </w:r>
      </w:hyperlink>
      <w:r>
        <w:rPr>
          <w:rFonts w:ascii="Arial" w:hAnsi="Arial" w:cs="Arial"/>
          <w:sz w:val="20"/>
          <w:szCs w:val="20"/>
        </w:rPr>
        <w:t xml:space="preserve"> дополнить абзацами следующего содержания: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"Потребители электрической энергии, энергопринимающие устройства которых опосредованно присоединены к электрическим сетям сетевой организации через энергетические установки производителей электрической энергии, оплачивают услуги по передаче электрической энергии с учетом следующих особенностей: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расходы на содержание электрических сетей оплачиваются в полном объеме;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нормативные потери оплачиваются только в части объемов электрической энергии, не обеспеченных выработкой электрической энергии соответствующей электрической станцией;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при расчете и применении тарифа на услуги по передаче электрической энергии за уровень напряжения принимается наиболее высокий уровень напряжения, на котором энергетические установки производителя электрической энергии присоединены к электрическим сетям сетевой организации.";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после </w:t>
      </w:r>
      <w:hyperlink r:id="rId1492" w:history="1">
        <w:r>
          <w:rPr>
            <w:rFonts w:ascii="Arial" w:hAnsi="Arial" w:cs="Arial"/>
            <w:color w:val="0000FF"/>
            <w:sz w:val="20"/>
            <w:szCs w:val="20"/>
          </w:rPr>
          <w:t>абзаца двадцатого</w:t>
        </w:r>
      </w:hyperlink>
      <w:r>
        <w:rPr>
          <w:rFonts w:ascii="Arial" w:hAnsi="Arial" w:cs="Arial"/>
          <w:sz w:val="20"/>
          <w:szCs w:val="20"/>
        </w:rPr>
        <w:t xml:space="preserve"> дополнить абзацем следующего содержания: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"Дополнительные доходы, возникшие у территориальной сетевой организации вследствие взыскания стоимости выявленного в порядке, предусмотренном Основными положениями функционирования розничных рынков электрической энергии, объема бездоговорного потребления электрической энергии с лиц, осуществляющих бездоговорное потребление электрической энергии, подлежат исключению из необходимой валовой выручки, рассчитываемой на следующий расчетный период регулирования. Под дополнительными доходами в настоящем пункте понимается величина, равная произведению выявленного объема бездоговорного потребления электрической энергии и разницы между ценой, применяемой в </w:t>
      </w:r>
      <w:r>
        <w:rPr>
          <w:rFonts w:ascii="Arial" w:hAnsi="Arial" w:cs="Arial"/>
          <w:sz w:val="20"/>
          <w:szCs w:val="20"/>
        </w:rPr>
        <w:lastRenderedPageBreak/>
        <w:t>соответствии с Основными положениями функционирования розничных рынков электрической энергии для определения стоимости объемов бездоговорного потребления электрической энергии, уменьшенной на величину составляющей, отражающей стоимость услуг по передаче электрической энергии, и ценой, по которой указанная территориальная сетевая организация приобретала электрическую энергию (мощность) в целях компенсации потерь в тот же расчетный период, в котором составлен акт о неучтенном потреблении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д) в </w:t>
      </w:r>
      <w:hyperlink r:id="rId1493" w:history="1">
        <w:r>
          <w:rPr>
            <w:rFonts w:ascii="Arial" w:hAnsi="Arial" w:cs="Arial"/>
            <w:color w:val="0000FF"/>
            <w:sz w:val="20"/>
            <w:szCs w:val="20"/>
          </w:rPr>
          <w:t>Правилах</w:t>
        </w:r>
      </w:hyperlink>
      <w:r>
        <w:rPr>
          <w:rFonts w:ascii="Arial" w:hAnsi="Arial" w:cs="Arial"/>
          <w:sz w:val="20"/>
          <w:szCs w:val="20"/>
        </w:rPr>
        <w:t xml:space="preserve"> государственного регулирования (пересмотра, применения) цен (тарифов) в электроэнергетике, утвержденных указанным постановлением: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494" w:history="1">
        <w:r>
          <w:rPr>
            <w:rFonts w:ascii="Arial" w:hAnsi="Arial" w:cs="Arial"/>
            <w:color w:val="0000FF"/>
            <w:sz w:val="20"/>
            <w:szCs w:val="20"/>
          </w:rPr>
          <w:t>дополнить</w:t>
        </w:r>
      </w:hyperlink>
      <w:r>
        <w:rPr>
          <w:rFonts w:ascii="Arial" w:hAnsi="Arial" w:cs="Arial"/>
          <w:sz w:val="20"/>
          <w:szCs w:val="20"/>
        </w:rPr>
        <w:t xml:space="preserve"> пунктом 9(1) следующего содержания: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"9(1). Регулирующий орган отказывает в открытии дела об установлении цены (тарифа), в случае если регулируемая организация не опубликовала предложение о размере цен (тарифов) и долгосрочных параметров регулирования (при применении метода доходности инвестированного капитала или метода долгосрочной индексации необходимой валовой выручки), подлежащих регулированию, в порядке, установленном стандартами раскрытия информации субъектами оптового и розничных рынков электрической энергии, утвержденными постановлением Правительства Российской Федерации от 21 января 2004 г. N 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495" w:history="1">
        <w:r>
          <w:rPr>
            <w:rFonts w:ascii="Arial" w:hAnsi="Arial" w:cs="Arial"/>
            <w:color w:val="0000FF"/>
            <w:sz w:val="20"/>
            <w:szCs w:val="20"/>
          </w:rPr>
          <w:t>пункт 15</w:t>
        </w:r>
      </w:hyperlink>
      <w:r>
        <w:rPr>
          <w:rFonts w:ascii="Arial" w:hAnsi="Arial" w:cs="Arial"/>
          <w:sz w:val="20"/>
          <w:szCs w:val="20"/>
        </w:rPr>
        <w:t xml:space="preserve"> признать утратившим силу;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496" w:history="1">
        <w:r>
          <w:rPr>
            <w:rFonts w:ascii="Arial" w:hAnsi="Arial" w:cs="Arial"/>
            <w:color w:val="0000FF"/>
            <w:sz w:val="20"/>
            <w:szCs w:val="20"/>
          </w:rPr>
          <w:t>пункте 17</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497" w:history="1">
        <w:r>
          <w:rPr>
            <w:rFonts w:ascii="Arial" w:hAnsi="Arial" w:cs="Arial"/>
            <w:color w:val="0000FF"/>
            <w:sz w:val="20"/>
            <w:szCs w:val="20"/>
          </w:rPr>
          <w:t>подпункт 12</w:t>
        </w:r>
      </w:hyperlink>
      <w:r>
        <w:rPr>
          <w:rFonts w:ascii="Arial" w:hAnsi="Arial" w:cs="Arial"/>
          <w:sz w:val="20"/>
          <w:szCs w:val="20"/>
        </w:rPr>
        <w:t xml:space="preserve"> дополнить словами ", в том числе дополнительно полученных сетевой организацией доходов, возникших в предшествующий период регулирования вследствие взыскания стоимости выявленного объема бездоговорного потребления электрической энергии с лиц, осуществляющих бездоговорное потребление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498" w:history="1">
        <w:r>
          <w:rPr>
            <w:rFonts w:ascii="Arial" w:hAnsi="Arial" w:cs="Arial"/>
            <w:color w:val="0000FF"/>
            <w:sz w:val="20"/>
            <w:szCs w:val="20"/>
          </w:rPr>
          <w:t>дополнить</w:t>
        </w:r>
      </w:hyperlink>
      <w:r>
        <w:rPr>
          <w:rFonts w:ascii="Arial" w:hAnsi="Arial" w:cs="Arial"/>
          <w:sz w:val="20"/>
          <w:szCs w:val="20"/>
        </w:rPr>
        <w:t xml:space="preserve"> подпунктом 14 следующего содержания: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"14) один из следующих документов, подтверждающих обязанность потребителя оплатить расходы сетевой организации, связанные с установкой для него приборов учета в соответствии с законодательством Российской Федерации об энергосбережении и о повышении энергетической эффективности: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договор, регулирующий условия установки прибора учета электрической энергии, заключенный между потребителем услуг и сетевой организацией;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вступившее в законную силу решение суда о принудительном взыскании расходов, связанных с установкой прибора учета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499" w:history="1">
        <w:r>
          <w:rPr>
            <w:rFonts w:ascii="Arial" w:hAnsi="Arial" w:cs="Arial"/>
            <w:color w:val="0000FF"/>
            <w:sz w:val="20"/>
            <w:szCs w:val="20"/>
          </w:rPr>
          <w:t>абзаце четвертом пункта 30</w:t>
        </w:r>
      </w:hyperlink>
      <w:r>
        <w:rPr>
          <w:rFonts w:ascii="Arial" w:hAnsi="Arial" w:cs="Arial"/>
          <w:sz w:val="20"/>
          <w:szCs w:val="20"/>
        </w:rPr>
        <w:t xml:space="preserve"> слова "ставки за 1 кВт мощности, - при установлении 2-ставочных тарифов" заменить словами "ставки (ставок) за 1 кВт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500" w:history="1">
        <w:r>
          <w:rPr>
            <w:rFonts w:ascii="Arial" w:hAnsi="Arial" w:cs="Arial"/>
            <w:color w:val="0000FF"/>
            <w:sz w:val="20"/>
            <w:szCs w:val="20"/>
          </w:rPr>
          <w:t>пункте 35</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501" w:history="1">
        <w:r>
          <w:rPr>
            <w:rFonts w:ascii="Arial" w:hAnsi="Arial" w:cs="Arial"/>
            <w:color w:val="0000FF"/>
            <w:sz w:val="20"/>
            <w:szCs w:val="20"/>
          </w:rPr>
          <w:t>абзаце втором</w:t>
        </w:r>
      </w:hyperlink>
      <w:r>
        <w:rPr>
          <w:rFonts w:ascii="Arial" w:hAnsi="Arial" w:cs="Arial"/>
          <w:sz w:val="20"/>
          <w:szCs w:val="20"/>
        </w:rP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заменить словом "определяемой";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502" w:history="1">
        <w:r>
          <w:rPr>
            <w:rFonts w:ascii="Arial" w:hAnsi="Arial" w:cs="Arial"/>
            <w:color w:val="0000FF"/>
            <w:sz w:val="20"/>
            <w:szCs w:val="20"/>
          </w:rPr>
          <w:t>абзацы третий</w:t>
        </w:r>
      </w:hyperlink>
      <w:r>
        <w:rPr>
          <w:rFonts w:ascii="Arial" w:hAnsi="Arial" w:cs="Arial"/>
          <w:sz w:val="20"/>
          <w:szCs w:val="20"/>
        </w:rPr>
        <w:t xml:space="preserve"> и </w:t>
      </w:r>
      <w:hyperlink r:id="rId1503" w:history="1">
        <w:r>
          <w:rPr>
            <w:rFonts w:ascii="Arial" w:hAnsi="Arial" w:cs="Arial"/>
            <w:color w:val="0000FF"/>
            <w:sz w:val="20"/>
            <w:szCs w:val="20"/>
          </w:rPr>
          <w:t>четвертый</w:t>
        </w:r>
      </w:hyperlink>
      <w:r>
        <w:rPr>
          <w:rFonts w:ascii="Arial" w:hAnsi="Arial" w:cs="Arial"/>
          <w:sz w:val="20"/>
          <w:szCs w:val="20"/>
        </w:rPr>
        <w:t xml:space="preserve"> признать утратившими силу.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В </w:t>
      </w:r>
      <w:hyperlink r:id="rId1504" w:history="1">
        <w:r>
          <w:rPr>
            <w:rFonts w:ascii="Arial" w:hAnsi="Arial" w:cs="Arial"/>
            <w:color w:val="0000FF"/>
            <w:sz w:val="20"/>
            <w:szCs w:val="20"/>
          </w:rPr>
          <w:t>Правилах</w:t>
        </w:r>
      </w:hyperlink>
      <w:r>
        <w:rPr>
          <w:rFonts w:ascii="Arial" w:hAnsi="Arial" w:cs="Arial"/>
          <w:sz w:val="20"/>
          <w:szCs w:val="20"/>
        </w:rPr>
        <w:t xml:space="preserve"> определения и применения гарантирующими поставщиками нерегулируемых цен на электрическую энергию (мощность), утвержденных постановлением Правительства Российской Федерации от 29 декабря 2011 г. N 1179 (Собрание законодательства Российской Федерации, 2012, N 4, ст. 505):</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а) по </w:t>
      </w:r>
      <w:hyperlink r:id="rId1505" w:history="1">
        <w:r>
          <w:rPr>
            <w:rFonts w:ascii="Arial" w:hAnsi="Arial" w:cs="Arial"/>
            <w:color w:val="0000FF"/>
            <w:sz w:val="20"/>
            <w:szCs w:val="20"/>
          </w:rPr>
          <w:t>тексту</w:t>
        </w:r>
      </w:hyperlink>
      <w:r>
        <w:rPr>
          <w:rFonts w:ascii="Arial" w:hAnsi="Arial" w:cs="Arial"/>
          <w:sz w:val="20"/>
          <w:szCs w:val="20"/>
        </w:rPr>
        <w:t xml:space="preserve"> слова "покупатель (потребитель)" в соответствующих числе и падеже заменить словами "потребитель (покупатель)" в соответствующих числе и падеже;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слова "энергетические установки производителя" и "энергетические установки производителя электрической энергии" в соответствующем падеже заменить словами "объекты по производству электрической энергии (мощности) производителя электрической энергии (мощности)" в соответствующем падеже;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б) в </w:t>
      </w:r>
      <w:hyperlink r:id="rId1506" w:history="1">
        <w:r>
          <w:rPr>
            <w:rFonts w:ascii="Arial" w:hAnsi="Arial" w:cs="Arial"/>
            <w:color w:val="0000FF"/>
            <w:sz w:val="20"/>
            <w:szCs w:val="20"/>
          </w:rPr>
          <w:t>пункте 1</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507" w:history="1">
        <w:r>
          <w:rPr>
            <w:rFonts w:ascii="Arial" w:hAnsi="Arial" w:cs="Arial"/>
            <w:color w:val="0000FF"/>
            <w:sz w:val="20"/>
            <w:szCs w:val="20"/>
          </w:rPr>
          <w:t>абзац первый</w:t>
        </w:r>
      </w:hyperlink>
      <w:r>
        <w:rPr>
          <w:rFonts w:ascii="Arial" w:hAnsi="Arial" w:cs="Arial"/>
          <w:sz w:val="20"/>
          <w:szCs w:val="20"/>
        </w:rPr>
        <w:t xml:space="preserve"> дополнить словами ", в том числе порядок определения коммерческим оператором оптового рынка составляющих предельных уровней нерегулируемых цен";</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508" w:history="1">
        <w:r>
          <w:rPr>
            <w:rFonts w:ascii="Arial" w:hAnsi="Arial" w:cs="Arial"/>
            <w:color w:val="0000FF"/>
            <w:sz w:val="20"/>
            <w:szCs w:val="20"/>
          </w:rPr>
          <w:t>абзаце четвертом</w:t>
        </w:r>
      </w:hyperlink>
      <w:r>
        <w:rPr>
          <w:rFonts w:ascii="Arial" w:hAnsi="Arial" w:cs="Arial"/>
          <w:sz w:val="20"/>
          <w:szCs w:val="20"/>
        </w:rPr>
        <w:t xml:space="preserve"> после слов "из совокупных объемов потребления" дополнить словами "потребителя (покупателя)";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509" w:history="1">
        <w:r>
          <w:rPr>
            <w:rFonts w:ascii="Arial" w:hAnsi="Arial" w:cs="Arial"/>
            <w:color w:val="0000FF"/>
            <w:sz w:val="20"/>
            <w:szCs w:val="20"/>
          </w:rPr>
          <w:t>абзаце шестом</w:t>
        </w:r>
      </w:hyperlink>
      <w:r>
        <w:rPr>
          <w:rFonts w:ascii="Arial" w:hAnsi="Arial" w:cs="Arial"/>
          <w:sz w:val="20"/>
          <w:szCs w:val="20"/>
        </w:rPr>
        <w:t xml:space="preserve"> после слов "категориями потребителей в" дополнить словом "фактическом";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в </w:t>
      </w:r>
      <w:hyperlink r:id="rId1510" w:history="1">
        <w:r>
          <w:rPr>
            <w:rFonts w:ascii="Arial" w:hAnsi="Arial" w:cs="Arial"/>
            <w:color w:val="0000FF"/>
            <w:sz w:val="20"/>
            <w:szCs w:val="20"/>
          </w:rPr>
          <w:t>пункте 2</w:t>
        </w:r>
      </w:hyperlink>
      <w:r>
        <w:rPr>
          <w:rFonts w:ascii="Arial" w:hAnsi="Arial" w:cs="Arial"/>
          <w:sz w:val="20"/>
          <w:szCs w:val="20"/>
        </w:rPr>
        <w:t>:</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511" w:history="1">
        <w:r>
          <w:rPr>
            <w:rFonts w:ascii="Arial" w:hAnsi="Arial" w:cs="Arial"/>
            <w:color w:val="0000FF"/>
            <w:sz w:val="20"/>
            <w:szCs w:val="20"/>
          </w:rPr>
          <w:t>абзац второй</w:t>
        </w:r>
      </w:hyperlink>
      <w:r>
        <w:rPr>
          <w:rFonts w:ascii="Arial" w:hAnsi="Arial" w:cs="Arial"/>
          <w:sz w:val="20"/>
          <w:szCs w:val="20"/>
        </w:rPr>
        <w:t xml:space="preserve"> признать утратившим силу;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512" w:history="1">
        <w:r>
          <w:rPr>
            <w:rFonts w:ascii="Arial" w:hAnsi="Arial" w:cs="Arial"/>
            <w:color w:val="0000FF"/>
            <w:sz w:val="20"/>
            <w:szCs w:val="20"/>
          </w:rPr>
          <w:t>абзаце третьем</w:t>
        </w:r>
      </w:hyperlink>
      <w:r>
        <w:rPr>
          <w:rFonts w:ascii="Arial" w:hAnsi="Arial" w:cs="Arial"/>
          <w:sz w:val="20"/>
          <w:szCs w:val="20"/>
        </w:rPr>
        <w:t xml:space="preserve"> слова "свободных договоров с производителем - участником оптового рынка" заменить словами "свободного договора купли-продажи электрической энергии с производителем - участником оптового рынка в интересах всех обслуживаемых гарантирующим поставщиком потребителей (покупателей) в его зоне деятельности";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513" w:history="1">
        <w:r>
          <w:rPr>
            <w:rFonts w:ascii="Arial" w:hAnsi="Arial" w:cs="Arial"/>
            <w:color w:val="0000FF"/>
            <w:sz w:val="20"/>
            <w:szCs w:val="20"/>
          </w:rPr>
          <w:t>абзац четвертый</w:t>
        </w:r>
      </w:hyperlink>
      <w:r>
        <w:rPr>
          <w:rFonts w:ascii="Arial" w:hAnsi="Arial" w:cs="Arial"/>
          <w:sz w:val="20"/>
          <w:szCs w:val="20"/>
        </w:rPr>
        <w:t xml:space="preserve"> изложить в следующей редакции: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этой сетевой организации. Эти предельные уровни нерегулируемых цен определяются по формуле (29) и применяются гарантирующим поставщиком к объемам покупки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514" w:history="1">
        <w:r>
          <w:rPr>
            <w:rFonts w:ascii="Arial" w:hAnsi="Arial" w:cs="Arial"/>
            <w:color w:val="0000FF"/>
            <w:sz w:val="20"/>
            <w:szCs w:val="20"/>
          </w:rPr>
          <w:t>абзаце пятом</w:t>
        </w:r>
      </w:hyperlink>
      <w:r>
        <w:rPr>
          <w:rFonts w:ascii="Arial" w:hAnsi="Arial" w:cs="Arial"/>
          <w:sz w:val="20"/>
          <w:szCs w:val="20"/>
        </w:rPr>
        <w:t xml:space="preserve"> после слов "по передаче электрической энергии" дополнить словами "по формулам (30 - 32)";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в </w:t>
      </w:r>
      <w:hyperlink r:id="rId1515" w:history="1">
        <w:r>
          <w:rPr>
            <w:rFonts w:ascii="Arial" w:hAnsi="Arial" w:cs="Arial"/>
            <w:color w:val="0000FF"/>
            <w:sz w:val="20"/>
            <w:szCs w:val="20"/>
          </w:rPr>
          <w:t>абзаце шестом</w:t>
        </w:r>
      </w:hyperlink>
      <w:r>
        <w:rPr>
          <w:rFonts w:ascii="Arial" w:hAnsi="Arial" w:cs="Arial"/>
          <w:sz w:val="20"/>
          <w:szCs w:val="20"/>
        </w:rPr>
        <w:t xml:space="preserve"> слова "потребителей, не относящихся к населению и организациям, оказывающим услуги по передаче электрической энергии" заменить словами "потребителей, не относящихся к организациям, оказывающим услуги по передаче электрической энергии, населению и приравненным к нему категориям";</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516" w:history="1">
        <w:r>
          <w:rPr>
            <w:rFonts w:ascii="Arial" w:hAnsi="Arial" w:cs="Arial"/>
            <w:color w:val="0000FF"/>
            <w:sz w:val="20"/>
            <w:szCs w:val="20"/>
          </w:rPr>
          <w:t>абзац седьмой</w:t>
        </w:r>
      </w:hyperlink>
      <w:r>
        <w:rPr>
          <w:rFonts w:ascii="Arial" w:hAnsi="Arial" w:cs="Arial"/>
          <w:sz w:val="20"/>
          <w:szCs w:val="20"/>
        </w:rPr>
        <w:t xml:space="preserve"> дополнить словами "по формулам (33 - 34)";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517" w:history="1">
        <w:r>
          <w:rPr>
            <w:rFonts w:ascii="Arial" w:hAnsi="Arial" w:cs="Arial"/>
            <w:color w:val="0000FF"/>
            <w:sz w:val="20"/>
            <w:szCs w:val="20"/>
          </w:rPr>
          <w:t>абзацы восьмой</w:t>
        </w:r>
      </w:hyperlink>
      <w:r>
        <w:rPr>
          <w:rFonts w:ascii="Arial" w:hAnsi="Arial" w:cs="Arial"/>
          <w:sz w:val="20"/>
          <w:szCs w:val="20"/>
        </w:rPr>
        <w:t xml:space="preserve"> - </w:t>
      </w:r>
      <w:hyperlink r:id="rId1518" w:history="1">
        <w:r>
          <w:rPr>
            <w:rFonts w:ascii="Arial" w:hAnsi="Arial" w:cs="Arial"/>
            <w:color w:val="0000FF"/>
            <w:sz w:val="20"/>
            <w:szCs w:val="20"/>
          </w:rPr>
          <w:t>десятый</w:t>
        </w:r>
      </w:hyperlink>
      <w:r>
        <w:rPr>
          <w:rFonts w:ascii="Arial" w:hAnsi="Arial" w:cs="Arial"/>
          <w:sz w:val="20"/>
          <w:szCs w:val="20"/>
        </w:rPr>
        <w:t xml:space="preserve"> признать утратившими силу;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hyperlink r:id="rId1519" w:history="1">
        <w:r>
          <w:rPr>
            <w:rFonts w:ascii="Arial" w:hAnsi="Arial" w:cs="Arial"/>
            <w:color w:val="0000FF"/>
            <w:sz w:val="20"/>
            <w:szCs w:val="20"/>
          </w:rPr>
          <w:t>абзац одиннадцатый</w:t>
        </w:r>
      </w:hyperlink>
      <w:r>
        <w:rPr>
          <w:rFonts w:ascii="Arial" w:hAnsi="Arial" w:cs="Arial"/>
          <w:sz w:val="20"/>
          <w:szCs w:val="20"/>
        </w:rPr>
        <w:t xml:space="preserve"> изложить в следующей редакции: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"До 1 января 2015 г. гарантирующие поставщики определяют и применяют без учета своей сбытовой надбавки предельные уровни нерегулируемых цен для соответствующих ценовых категорий в отношении покупателей - энергосбытовых организаций, которые определены актом Правительства Российской Федерации в целях снабжения электрической энергией находящихся в ведении Министерства обороны Российской Федерации организаций и осуществляют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обороны Российской Федерации и (или) образованным во исполнение </w:t>
      </w:r>
      <w:hyperlink r:id="rId1520" w:history="1">
        <w:r>
          <w:rPr>
            <w:rFonts w:ascii="Arial" w:hAnsi="Arial" w:cs="Arial"/>
            <w:color w:val="0000FF"/>
            <w:sz w:val="20"/>
            <w:szCs w:val="20"/>
          </w:rPr>
          <w:t>Указа</w:t>
        </w:r>
      </w:hyperlink>
      <w:r>
        <w:rPr>
          <w:rFonts w:ascii="Arial" w:hAnsi="Arial" w:cs="Arial"/>
          <w:sz w:val="20"/>
          <w:szCs w:val="20"/>
        </w:rPr>
        <w:t xml:space="preserve"> Президента Российской Федерации от 15 сентября 2008 г. N 1359 "Об открытом акционерном обществе "Оборонсервис", в отношении точек поставки, расположенных на </w:t>
      </w:r>
      <w:r>
        <w:rPr>
          <w:rFonts w:ascii="Arial" w:hAnsi="Arial" w:cs="Arial"/>
          <w:sz w:val="20"/>
          <w:szCs w:val="20"/>
        </w:rPr>
        <w:lastRenderedPageBreak/>
        <w:t xml:space="preserve">территории, в отношении которой указанные энергосбытовые организации функционируют в качестве гарантирующих поставщиков и осуществляют покупку электрической энергии (мощности) по соответствующим точкам поставки у гарантирующих поставщиков - участников оптового рынка. При этом такие предельные уровни применяются к объемам электрической энергии (мощности), поставляемой находящимся в ведении Министерства обороны Российской Федерации организациям и иным потребителям (юридическим и физическим лицам),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обороны Российской Федерации и (или) образованным во исполнение </w:t>
      </w:r>
      <w:hyperlink r:id="rId1521" w:history="1">
        <w:r>
          <w:rPr>
            <w:rFonts w:ascii="Arial" w:hAnsi="Arial" w:cs="Arial"/>
            <w:color w:val="0000FF"/>
            <w:sz w:val="20"/>
            <w:szCs w:val="20"/>
          </w:rPr>
          <w:t>Указа</w:t>
        </w:r>
      </w:hyperlink>
      <w:r>
        <w:rPr>
          <w:rFonts w:ascii="Arial" w:hAnsi="Arial" w:cs="Arial"/>
          <w:sz w:val="20"/>
          <w:szCs w:val="20"/>
        </w:rPr>
        <w:t xml:space="preserve"> Президента Российской Федерации от 15 сентября 2008 г. N 1359 "Об открытом акционерном обществе "Оборонсервис".";</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г) </w:t>
      </w:r>
      <w:hyperlink r:id="rId1522" w:history="1">
        <w:r>
          <w:rPr>
            <w:rFonts w:ascii="Arial" w:hAnsi="Arial" w:cs="Arial"/>
            <w:color w:val="0000FF"/>
            <w:sz w:val="20"/>
            <w:szCs w:val="20"/>
          </w:rPr>
          <w:t>пункты 3</w:t>
        </w:r>
      </w:hyperlink>
      <w:r>
        <w:rPr>
          <w:rFonts w:ascii="Arial" w:hAnsi="Arial" w:cs="Arial"/>
          <w:sz w:val="20"/>
          <w:szCs w:val="20"/>
        </w:rPr>
        <w:t xml:space="preserve"> - </w:t>
      </w:r>
      <w:hyperlink r:id="rId1523" w:history="1">
        <w:r>
          <w:rPr>
            <w:rFonts w:ascii="Arial" w:hAnsi="Arial" w:cs="Arial"/>
            <w:color w:val="0000FF"/>
            <w:sz w:val="20"/>
            <w:szCs w:val="20"/>
          </w:rPr>
          <w:t>10</w:t>
        </w:r>
      </w:hyperlink>
      <w:r>
        <w:rPr>
          <w:rFonts w:ascii="Arial" w:hAnsi="Arial" w:cs="Arial"/>
          <w:sz w:val="20"/>
          <w:szCs w:val="20"/>
        </w:rPr>
        <w:t xml:space="preserve"> изложить в следующей редакции: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"3. Гарантирующие поставщики определяют нерегулируемые цены в рамках предельных уровней нерегулируемых цен, дифференцируемых по ценовым категориям в соответствии с Основными положениями функционирования розничных рынков.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Объем мощности, к которому применяется ставка на мощность нерегулируемых цен в рамках ставок предельных уровней, дифференцированных по третьей - шестой ценовым категориям, равен величине мощности, оплачиваемой на розничном рынке потребителем (покупателем), определяемой в соответствии с Основными положениями функционирования розничных рынков.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Объем мощности, к которому применяется ставка тарифа на услуги по передаче электрической энергии за содержание электрических сетей в рамках предельного уровня нерегулируемых цен для четвертой и шестой ценовых категорий, равен величине мощности, используемой для определения размера обязательств потребителя (покупателя) по оплате услуг по передаче электрической энергии в соответствии с </w:t>
      </w:r>
      <w:hyperlink r:id="rId1524" w:history="1">
        <w:r>
          <w:rPr>
            <w:rFonts w:ascii="Arial" w:hAnsi="Arial" w:cs="Arial"/>
            <w:color w:val="0000FF"/>
            <w:sz w:val="20"/>
            <w:szCs w:val="20"/>
          </w:rPr>
          <w:t>Правилами</w:t>
        </w:r>
      </w:hyperlink>
      <w:r>
        <w:rPr>
          <w:rFonts w:ascii="Arial" w:hAnsi="Arial" w:cs="Arial"/>
          <w:sz w:val="20"/>
          <w:szCs w:val="20"/>
        </w:rPr>
        <w:t xml:space="preserve"> недискриминационного доступа к услугам по передаче электрической энергии и оказания этих услуг.</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Предельные уровни нерегулируемых цен дифференцируются по группам (подгруппам) потребителей начиная с расчетного периода, с которого сбытовые надбавки гарантирующих поставщиков определяются в виде формулы в соответствии с </w:t>
      </w:r>
      <w:hyperlink r:id="rId1525" w:history="1">
        <w:r>
          <w:rPr>
            <w:rFonts w:ascii="Arial" w:hAnsi="Arial" w:cs="Arial"/>
            <w:color w:val="0000FF"/>
            <w:sz w:val="20"/>
            <w:szCs w:val="20"/>
          </w:rPr>
          <w:t>Основами</w:t>
        </w:r>
      </w:hyperlink>
      <w:r>
        <w:rPr>
          <w:rFonts w:ascii="Arial" w:hAnsi="Arial" w:cs="Arial"/>
          <w:sz w:val="20"/>
          <w:szCs w:val="20"/>
        </w:rPr>
        <w:t xml:space="preserve"> ценообразования в области регулируемых цен (тарифов) в электроэнергетике.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 Предельный уровень нерегулируемых цен для первой ценовой категории определяется гарантирующим поставщиком по формуле:</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2667000" cy="238125"/>
            <wp:effectExtent l="0" t="0" r="0" b="952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2667000" cy="238125"/>
                    </a:xfrm>
                    <a:prstGeom prst="rect">
                      <a:avLst/>
                    </a:prstGeom>
                    <a:noFill/>
                    <a:ln>
                      <a:noFill/>
                    </a:ln>
                  </pic:spPr>
                </pic:pic>
              </a:graphicData>
            </a:graphic>
          </wp:inline>
        </w:drawing>
      </w:r>
      <w:r>
        <w:rPr>
          <w:rFonts w:ascii="Arial" w:hAnsi="Arial" w:cs="Arial"/>
          <w:sz w:val="20"/>
          <w:szCs w:val="20"/>
        </w:rPr>
        <w:t>, (1)</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571500" cy="257175"/>
            <wp:effectExtent l="0" t="0" r="0" b="9525"/>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527"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Pr>
          <w:rFonts w:ascii="Arial" w:hAnsi="Arial" w:cs="Arial"/>
          <w:sz w:val="20"/>
          <w:szCs w:val="20"/>
        </w:rPr>
        <w:t xml:space="preserve"> - предельный уровень нерегулируемых цен для первой ценовой категории, в рамках которого нерегулируемая цена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за расчетный период (m),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571500" cy="238125"/>
            <wp:effectExtent l="0" t="0" r="0" b="952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528" cstate="print">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Pr>
          <w:rFonts w:ascii="Arial" w:hAnsi="Arial" w:cs="Arial"/>
          <w:sz w:val="20"/>
          <w:szCs w:val="20"/>
        </w:rPr>
        <w:t xml:space="preserve"> -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за расчетный период (m), рассчитываемая гарантирующим поставщиком и опубликованная им на своем сайте в сети Интернет, рублей/МВт·ч, которая: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до 1 июля 2013 г. рассчитывается гарантирующим поставщиком по формуле (2);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с 1 июля 2013 г. рассчитывается гарантирующим поставщиком по формуле (3);</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42900" cy="257175"/>
            <wp:effectExtent l="0" t="0" r="0" b="9525"/>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529"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Pr>
          <w:rFonts w:ascii="Arial" w:hAnsi="Arial" w:cs="Arial"/>
          <w:sz w:val="20"/>
          <w:szCs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w:t>
      </w:r>
      <w:r>
        <w:rPr>
          <w:rFonts w:ascii="Arial" w:hAnsi="Arial" w:cs="Arial"/>
          <w:sz w:val="20"/>
          <w:szCs w:val="20"/>
        </w:rPr>
        <w:lastRenderedPageBreak/>
        <w:t>области регулирования тарифов в отношении расчетного периода (m) и j-го уровня напряжения,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304800" cy="238125"/>
            <wp:effectExtent l="0" t="0" r="0" b="9525"/>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Pr>
          <w:rFonts w:ascii="Arial" w:hAnsi="Arial" w:cs="Arial"/>
          <w:sz w:val="20"/>
          <w:szCs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в отношении расчетного периода (m) по формуле (28),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447675" cy="257175"/>
            <wp:effectExtent l="0" t="0" r="9525" b="9525"/>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531"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Pr>
          <w:rFonts w:ascii="Arial" w:hAnsi="Arial" w:cs="Arial"/>
          <w:sz w:val="20"/>
          <w:szCs w:val="20"/>
        </w:rPr>
        <w:t xml:space="preserve"> - сбытовая надбавка гарантирующего поставщика, учитываемая в стоимости электрической энергии (мощности) и определяемая в отношении расчетного периода (m) для первой ценовой категории и n-й группы (подгруппы) потребителей в соответствии с </w:t>
      </w:r>
      <w:hyperlink r:id="rId1532" w:history="1">
        <w:r>
          <w:rPr>
            <w:rFonts w:ascii="Arial" w:hAnsi="Arial" w:cs="Arial"/>
            <w:color w:val="0000FF"/>
            <w:sz w:val="20"/>
            <w:szCs w:val="20"/>
          </w:rPr>
          <w:t>Основами</w:t>
        </w:r>
      </w:hyperlink>
      <w:r>
        <w:rPr>
          <w:rFonts w:ascii="Arial" w:hAnsi="Arial" w:cs="Arial"/>
          <w:sz w:val="20"/>
          <w:szCs w:val="20"/>
        </w:rPr>
        <w:t xml:space="preserve"> ценообразования в области регулируемых цен (тарифов) в электроэнергетике,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4(1).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за расчетный период (m), рассчитывается гарантирующим поставщиком,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до 1 июля 2013 г. - по формуле:</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12"/>
          <w:sz w:val="20"/>
          <w:szCs w:val="20"/>
          <w:lang w:eastAsia="ru-RU"/>
        </w:rPr>
        <w:drawing>
          <wp:inline distT="0" distB="0" distL="0" distR="0">
            <wp:extent cx="5257800" cy="276225"/>
            <wp:effectExtent l="0" t="0" r="0" b="9525"/>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5257800" cy="276225"/>
                    </a:xfrm>
                    <a:prstGeom prst="rect">
                      <a:avLst/>
                    </a:prstGeom>
                    <a:noFill/>
                    <a:ln>
                      <a:noFill/>
                    </a:ln>
                  </pic:spPr>
                </pic:pic>
              </a:graphicData>
            </a:graphic>
          </wp:inline>
        </w:drawing>
      </w:r>
      <w:r>
        <w:rPr>
          <w:rFonts w:ascii="Arial" w:hAnsi="Arial" w:cs="Arial"/>
          <w:sz w:val="20"/>
          <w:szCs w:val="20"/>
        </w:rPr>
        <w:t>, (2)</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с 1 июля 2013 г. - по формуле:</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2933700" cy="238125"/>
            <wp:effectExtent l="0" t="0" r="0" b="9525"/>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2933700" cy="238125"/>
                    </a:xfrm>
                    <a:prstGeom prst="rect">
                      <a:avLst/>
                    </a:prstGeom>
                    <a:noFill/>
                    <a:ln>
                      <a:noFill/>
                    </a:ln>
                  </pic:spPr>
                </pic:pic>
              </a:graphicData>
            </a:graphic>
          </wp:inline>
        </w:drawing>
      </w:r>
      <w:r>
        <w:rPr>
          <w:rFonts w:ascii="Arial" w:hAnsi="Arial" w:cs="Arial"/>
          <w:sz w:val="20"/>
          <w:szCs w:val="20"/>
        </w:rPr>
        <w:t>, (3)</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447675" cy="238125"/>
            <wp:effectExtent l="0" t="0" r="9525" b="952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535" cstate="print">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Pr>
          <w:rFonts w:ascii="Arial" w:hAnsi="Arial" w:cs="Arial"/>
          <w:sz w:val="20"/>
          <w:szCs w:val="20"/>
        </w:rPr>
        <w:t xml:space="preserve"> - средневзвешенная нерегулируемая цена на электрическую энергию на оптовом рынке, определенная коммерческим оператором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расчетного периода (m),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7"/>
          <w:sz w:val="20"/>
          <w:szCs w:val="20"/>
          <w:lang w:eastAsia="ru-RU"/>
        </w:rPr>
        <w:drawing>
          <wp:inline distT="0" distB="0" distL="0" distR="0">
            <wp:extent cx="209550" cy="22860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536"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Pr>
          <w:rFonts w:ascii="Arial" w:hAnsi="Arial" w:cs="Arial"/>
          <w:sz w:val="20"/>
          <w:szCs w:val="20"/>
        </w:rP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за расчетный период (m) по формуле (4), 1/час;</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495300" cy="238125"/>
            <wp:effectExtent l="0" t="0" r="0" b="952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537"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Pr>
          <w:rFonts w:ascii="Arial" w:hAnsi="Arial" w:cs="Arial"/>
          <w:sz w:val="20"/>
          <w:szCs w:val="20"/>
        </w:rP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847725" cy="238125"/>
            <wp:effectExtent l="0" t="0" r="9525" b="952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538" cstate="print">
                      <a:extLst>
                        <a:ext uri="{28A0092B-C50C-407E-A947-70E740481C1C}">
                          <a14:useLocalDpi xmlns:a14="http://schemas.microsoft.com/office/drawing/2010/main" val="0"/>
                        </a:ext>
                      </a:extLst>
                    </a:blip>
                    <a:srcRect/>
                    <a:stretch>
                      <a:fillRect/>
                    </a:stretch>
                  </pic:blipFill>
                  <pic:spPr bwMode="auto">
                    <a:xfrm>
                      <a:off x="0" y="0"/>
                      <a:ext cx="847725" cy="238125"/>
                    </a:xfrm>
                    <a:prstGeom prst="rect">
                      <a:avLst/>
                    </a:prstGeom>
                    <a:noFill/>
                    <a:ln>
                      <a:noFill/>
                    </a:ln>
                  </pic:spPr>
                </pic:pic>
              </a:graphicData>
            </a:graphic>
          </wp:inline>
        </w:drawing>
      </w:r>
      <w:r>
        <w:rPr>
          <w:rFonts w:ascii="Arial" w:hAnsi="Arial" w:cs="Arial"/>
          <w:sz w:val="20"/>
          <w:szCs w:val="20"/>
        </w:rPr>
        <w:t xml:space="preserve"> - величина изменения средневзвешенной нерегулируемой цены на электрическую энергию (мощность) за расчетный период (m), используемая в расчете средневзвешенной нерегулируемой цены на электрическую энергию (мощность) по формулам (2) или (3), связанная с учетом данных за предыдущие расчетные периоды в случаях, предусмотренных Основными положениями функционирования розничных рынков электрической энергии, определяемая гарантирующим поставщиком по формуле (6),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4(2). Коэффициент оплаты мощности потребителями (покупателями), осуществляющими расчеты по первой ценовой категории, определяемый гарантирующим поставщиком по формуле, 1/час:</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61"/>
          <w:sz w:val="20"/>
          <w:szCs w:val="20"/>
          <w:lang w:eastAsia="ru-RU"/>
        </w:rPr>
        <w:drawing>
          <wp:inline distT="0" distB="0" distL="0" distR="0">
            <wp:extent cx="4657725" cy="904875"/>
            <wp:effectExtent l="0" t="0" r="9525" b="9525"/>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539" cstate="print">
                      <a:extLst>
                        <a:ext uri="{28A0092B-C50C-407E-A947-70E740481C1C}">
                          <a14:useLocalDpi xmlns:a14="http://schemas.microsoft.com/office/drawing/2010/main" val="0"/>
                        </a:ext>
                      </a:extLst>
                    </a:blip>
                    <a:srcRect/>
                    <a:stretch>
                      <a:fillRect/>
                    </a:stretch>
                  </pic:blipFill>
                  <pic:spPr bwMode="auto">
                    <a:xfrm>
                      <a:off x="0" y="0"/>
                      <a:ext cx="4657725" cy="904875"/>
                    </a:xfrm>
                    <a:prstGeom prst="rect">
                      <a:avLst/>
                    </a:prstGeom>
                    <a:noFill/>
                    <a:ln>
                      <a:noFill/>
                    </a:ln>
                  </pic:spPr>
                </pic:pic>
              </a:graphicData>
            </a:graphic>
          </wp:inline>
        </w:drawing>
      </w:r>
      <w:r>
        <w:rPr>
          <w:rFonts w:ascii="Arial" w:hAnsi="Arial" w:cs="Arial"/>
          <w:sz w:val="20"/>
          <w:szCs w:val="20"/>
        </w:rPr>
        <w:t xml:space="preserve"> (4)</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81000" cy="257175"/>
            <wp:effectExtent l="0" t="0" r="0" b="9525"/>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40"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Pr>
          <w:rFonts w:ascii="Arial" w:hAnsi="Arial" w:cs="Arial"/>
          <w:sz w:val="20"/>
          <w:szCs w:val="20"/>
        </w:rPr>
        <w:t xml:space="preserve"> - объем фактического пикового потребления гарантирующего поставщика за расчетный период (m) на оптовом рынке, определенный коммерческим оператором, опубликованный на официальных сайтах коммерческого оператора и гарантирующего поставщика в сети Интернет, 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81000" cy="257175"/>
            <wp:effectExtent l="0" t="0" r="0" b="9525"/>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Pr>
          <w:rFonts w:ascii="Arial" w:hAnsi="Arial" w:cs="Arial"/>
          <w:sz w:val="20"/>
          <w:szCs w:val="20"/>
        </w:rPr>
        <w:t xml:space="preserve"> - 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 в соответствии с Основными положениями функционирования розничных рынков электрической энергии за расчетный период (m), 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419100" cy="257175"/>
            <wp:effectExtent l="0" t="0" r="0" b="9525"/>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42"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rFonts w:ascii="Arial" w:hAnsi="Arial" w:cs="Arial"/>
          <w:sz w:val="20"/>
          <w:szCs w:val="20"/>
        </w:rPr>
        <w:t xml:space="preserve"> - сумма величин мощности, оплачиваемой на розничном рынке за расчетный период (m) потребителями (покупателями), осуществляющими расчеты по второй - шестой ценовым категориям, опубликованная на официальном сайте гарантирующего поставщика в сети Интернет, 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609600" cy="238125"/>
            <wp:effectExtent l="0" t="0" r="0" b="9525"/>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543"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Pr>
          <w:rFonts w:ascii="Arial" w:hAnsi="Arial" w:cs="Arial"/>
          <w:sz w:val="20"/>
          <w:szCs w:val="20"/>
        </w:rPr>
        <w:t xml:space="preserve"> - объем потребления мощности в соответствующий расчетный период (m) населением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МВт. До 1 января 2013 г. объем потребления мощности населением и приравненными к нему категориями потребителей принимается равным указанному значению, уменьшенному на величину покупки резервной мощности, учтенной в утвержденном на 2012 год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81000" cy="257175"/>
            <wp:effectExtent l="0" t="0" r="0" b="9525"/>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44"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Pr>
          <w:rFonts w:ascii="Arial" w:hAnsi="Arial" w:cs="Arial"/>
          <w:sz w:val="20"/>
          <w:szCs w:val="20"/>
        </w:rPr>
        <w:t xml:space="preserve"> - фактический объем потребления электрической энергии гарантирующего поставщика за расчетный период (m) на оптовом рынке, определяемый коммерческим оператором и опубликованный на официальных сайтах коммерческого оператора и гарантирующего поставщика в сети Интернет, 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419100" cy="257175"/>
            <wp:effectExtent l="0" t="0" r="0" b="9525"/>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545"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rFonts w:ascii="Arial" w:hAnsi="Arial" w:cs="Arial"/>
          <w:sz w:val="20"/>
          <w:szCs w:val="20"/>
        </w:rPr>
        <w:t xml:space="preserve"> - объем покупки электрической энергии гарантирующим поставщиком у производителей электрической энергии (мощности) на розничных рынках в соответствии с Основными положениями функционирования розничных рынков электрической энергии за расчетный период (m), 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495300" cy="238125"/>
            <wp:effectExtent l="0" t="0" r="0" b="9525"/>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46"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Pr>
          <w:rFonts w:ascii="Arial" w:hAnsi="Arial" w:cs="Arial"/>
          <w:sz w:val="20"/>
          <w:szCs w:val="20"/>
        </w:rPr>
        <w:t xml:space="preserve"> - сумма объемов потребления электрической энергии за расчетный период (m) потребителями (покупателями), осуществляющими расчеты по второй - шестой ценовым категориям, опубликованных на официальном сайте гарантирующего поставщика в сети Интернет, 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666750" cy="238125"/>
            <wp:effectExtent l="0" t="0" r="0" b="9525"/>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547" cstate="print">
                      <a:extLst>
                        <a:ext uri="{28A0092B-C50C-407E-A947-70E740481C1C}">
                          <a14:useLocalDpi xmlns:a14="http://schemas.microsoft.com/office/drawing/2010/main" val="0"/>
                        </a:ext>
                      </a:extLst>
                    </a:blip>
                    <a:srcRect/>
                    <a:stretch>
                      <a:fillRect/>
                    </a:stretch>
                  </pic:blipFill>
                  <pic:spPr bwMode="auto">
                    <a:xfrm>
                      <a:off x="0" y="0"/>
                      <a:ext cx="666750" cy="238125"/>
                    </a:xfrm>
                    <a:prstGeom prst="rect">
                      <a:avLst/>
                    </a:prstGeom>
                    <a:noFill/>
                    <a:ln>
                      <a:noFill/>
                    </a:ln>
                  </pic:spPr>
                </pic:pic>
              </a:graphicData>
            </a:graphic>
          </wp:inline>
        </w:drawing>
      </w:r>
      <w:r>
        <w:rPr>
          <w:rFonts w:ascii="Arial" w:hAnsi="Arial" w:cs="Arial"/>
          <w:sz w:val="20"/>
          <w:szCs w:val="20"/>
        </w:rPr>
        <w:t xml:space="preserve"> - объем потребления электрической энергии населением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4(3). Величина мощности, оплачиваемой на розничном рынке за расчетный период (m)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 гарантирующим поставщиком по формуле:</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17"/>
          <w:sz w:val="20"/>
          <w:szCs w:val="20"/>
          <w:lang w:eastAsia="ru-RU"/>
        </w:rPr>
        <w:drawing>
          <wp:inline distT="0" distB="0" distL="0" distR="0">
            <wp:extent cx="1457325" cy="342900"/>
            <wp:effectExtent l="0" t="0" r="9525"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1457325" cy="342900"/>
                    </a:xfrm>
                    <a:prstGeom prst="rect">
                      <a:avLst/>
                    </a:prstGeom>
                    <a:noFill/>
                    <a:ln>
                      <a:noFill/>
                    </a:ln>
                  </pic:spPr>
                </pic:pic>
              </a:graphicData>
            </a:graphic>
          </wp:inline>
        </w:drawing>
      </w:r>
      <w:r>
        <w:rPr>
          <w:rFonts w:ascii="Arial" w:hAnsi="Arial" w:cs="Arial"/>
          <w:sz w:val="20"/>
          <w:szCs w:val="20"/>
        </w:rPr>
        <w:t>, (5)</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Z - множество зон суток расчетного периода (m), по которым дифференцируется предельный уровень нерегулируемых цен, соответствующий второй ценовой категории;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419100" cy="257175"/>
            <wp:effectExtent l="0" t="0" r="0" b="952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549"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rFonts w:ascii="Arial" w:hAnsi="Arial" w:cs="Arial"/>
          <w:sz w:val="20"/>
          <w:szCs w:val="20"/>
        </w:rPr>
        <w:t xml:space="preserve">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276225" cy="238125"/>
            <wp:effectExtent l="0" t="0" r="9525" b="9525"/>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50"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Pr>
          <w:rFonts w:ascii="Arial" w:hAnsi="Arial" w:cs="Arial"/>
          <w:sz w:val="20"/>
          <w:szCs w:val="20"/>
        </w:rP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в отношении его зоны деятельности по формуле (57) и опубликованный на официальных сайтах коммерческого оператора оптового рынка и гарантирующего поставщика в сети Интернет, 1/час.</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4(4). Величина изменения средневзвешенной нерегулируемой цены на электрическую энергию (мощность) за расчетный период (m), связанная с учетом данных за предыдущие расчетные периоды в случаях, предусмотренных Основными положениями функционирования розничных рынков электрической энергии, используемая в расчете средневзвешенной нерегулируемой цены на электрическую энергию (мощность) в соответствии с формулами (2) или (3), определяется гарантирующим поставщиком по формуле, рублей/МВт·ч:</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14"/>
          <w:sz w:val="20"/>
          <w:szCs w:val="20"/>
          <w:lang w:eastAsia="ru-RU"/>
        </w:rPr>
        <w:drawing>
          <wp:inline distT="0" distB="0" distL="0" distR="0">
            <wp:extent cx="3581400" cy="30480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551" cstate="print">
                      <a:extLst>
                        <a:ext uri="{28A0092B-C50C-407E-A947-70E740481C1C}">
                          <a14:useLocalDpi xmlns:a14="http://schemas.microsoft.com/office/drawing/2010/main" val="0"/>
                        </a:ext>
                      </a:extLst>
                    </a:blip>
                    <a:srcRect/>
                    <a:stretch>
                      <a:fillRect/>
                    </a:stretch>
                  </pic:blipFill>
                  <pic:spPr bwMode="auto">
                    <a:xfrm>
                      <a:off x="0" y="0"/>
                      <a:ext cx="3581400" cy="304800"/>
                    </a:xfrm>
                    <a:prstGeom prst="rect">
                      <a:avLst/>
                    </a:prstGeom>
                    <a:noFill/>
                    <a:ln>
                      <a:noFill/>
                    </a:ln>
                  </pic:spPr>
                </pic:pic>
              </a:graphicData>
            </a:graphic>
          </wp:inline>
        </w:drawing>
      </w:r>
      <w:r>
        <w:rPr>
          <w:rFonts w:ascii="Arial" w:hAnsi="Arial" w:cs="Arial"/>
          <w:sz w:val="20"/>
          <w:szCs w:val="20"/>
        </w:rPr>
        <w:t>, (6)</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400050" cy="238125"/>
            <wp:effectExtent l="0" t="0" r="0" b="952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52" cstate="print">
                      <a:extLst>
                        <a:ext uri="{28A0092B-C50C-407E-A947-70E740481C1C}">
                          <a14:useLocalDpi xmlns:a14="http://schemas.microsoft.com/office/drawing/2010/main" val="0"/>
                        </a:ext>
                      </a:extLst>
                    </a:blip>
                    <a:srcRect/>
                    <a:stretch>
                      <a:fillRect/>
                    </a:stretch>
                  </pic:blipFill>
                  <pic:spPr bwMode="auto">
                    <a:xfrm>
                      <a:off x="0" y="0"/>
                      <a:ext cx="400050" cy="238125"/>
                    </a:xfrm>
                    <a:prstGeom prst="rect">
                      <a:avLst/>
                    </a:prstGeom>
                    <a:noFill/>
                    <a:ln>
                      <a:noFill/>
                    </a:ln>
                  </pic:spPr>
                </pic:pic>
              </a:graphicData>
            </a:graphic>
          </wp:inline>
        </w:drawing>
      </w:r>
      <w:r>
        <w:rPr>
          <w:rFonts w:ascii="Arial" w:hAnsi="Arial" w:cs="Arial"/>
          <w:sz w:val="20"/>
          <w:szCs w:val="20"/>
        </w:rPr>
        <w:t xml:space="preserve"> - расчетная (вспомогательная) величина изменения средневзвешенной нерегулируемой цены на электрическую энергию (мощность) за расчетный период (m), определяемая гарантирующим поставщиком по формуле (7),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447675" cy="238125"/>
            <wp:effectExtent l="0" t="0" r="9525" b="952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553" cstate="print">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Pr>
          <w:rFonts w:ascii="Arial" w:hAnsi="Arial" w:cs="Arial"/>
          <w:sz w:val="20"/>
          <w:szCs w:val="20"/>
        </w:rPr>
        <w:t xml:space="preserve"> - средневзвешенная нерегулируемая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расчетного периода (m),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7"/>
          <w:sz w:val="20"/>
          <w:szCs w:val="20"/>
          <w:lang w:eastAsia="ru-RU"/>
        </w:rPr>
        <w:drawing>
          <wp:inline distT="0" distB="0" distL="0" distR="0">
            <wp:extent cx="209550" cy="22860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54"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Pr>
          <w:rFonts w:ascii="Arial" w:hAnsi="Arial" w:cs="Arial"/>
          <w:sz w:val="20"/>
          <w:szCs w:val="20"/>
        </w:rPr>
        <w:t xml:space="preserve"> - коэффициент оплаты мощности потребителями (покупателями), осуществляющими расчеты по первой ценовой категории, за расчетный период (m), определяемый гарантирующим поставщиком по формуле (4) с учетом данных, известных в расчетный период (m), 1/час;</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495300" cy="238125"/>
            <wp:effectExtent l="0" t="0" r="0" b="952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555"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Pr>
          <w:rFonts w:ascii="Arial" w:hAnsi="Arial" w:cs="Arial"/>
          <w:sz w:val="20"/>
          <w:szCs w:val="20"/>
        </w:rP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4(5). Расчетная (вспомогательная) величина изменения средневзвешенной нерегулируемой цены на электрическую энергию (мощность) за расчетный период (m) рассчитывается по формуле, рублей/МВт·ч:</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35"/>
          <w:sz w:val="20"/>
          <w:szCs w:val="20"/>
          <w:lang w:eastAsia="ru-RU"/>
        </w:rPr>
        <w:drawing>
          <wp:inline distT="0" distB="0" distL="0" distR="0">
            <wp:extent cx="3933825" cy="571500"/>
            <wp:effectExtent l="0" t="0" r="9525"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56" cstate="print">
                      <a:extLst>
                        <a:ext uri="{28A0092B-C50C-407E-A947-70E740481C1C}">
                          <a14:useLocalDpi xmlns:a14="http://schemas.microsoft.com/office/drawing/2010/main" val="0"/>
                        </a:ext>
                      </a:extLst>
                    </a:blip>
                    <a:srcRect/>
                    <a:stretch>
                      <a:fillRect/>
                    </a:stretch>
                  </pic:blipFill>
                  <pic:spPr bwMode="auto">
                    <a:xfrm>
                      <a:off x="0" y="0"/>
                      <a:ext cx="3933825" cy="571500"/>
                    </a:xfrm>
                    <a:prstGeom prst="rect">
                      <a:avLst/>
                    </a:prstGeom>
                    <a:noFill/>
                    <a:ln>
                      <a:noFill/>
                    </a:ln>
                  </pic:spPr>
                </pic:pic>
              </a:graphicData>
            </a:graphic>
          </wp:inline>
        </w:drawing>
      </w:r>
      <w:r>
        <w:rPr>
          <w:rFonts w:ascii="Arial" w:hAnsi="Arial" w:cs="Arial"/>
          <w:sz w:val="20"/>
          <w:szCs w:val="20"/>
        </w:rPr>
        <w:t>, (7)</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M - множество всех расчетных периодов (t) с апреля 2012 г. до периода (m-1) включительно;</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1009650" cy="238125"/>
            <wp:effectExtent l="0" t="0" r="0" b="952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557" cstate="print">
                      <a:extLst>
                        <a:ext uri="{28A0092B-C50C-407E-A947-70E740481C1C}">
                          <a14:useLocalDpi xmlns:a14="http://schemas.microsoft.com/office/drawing/2010/main" val="0"/>
                        </a:ext>
                      </a:extLst>
                    </a:blip>
                    <a:srcRect/>
                    <a:stretch>
                      <a:fillRect/>
                    </a:stretch>
                  </pic:blipFill>
                  <pic:spPr bwMode="auto">
                    <a:xfrm>
                      <a:off x="0" y="0"/>
                      <a:ext cx="1009650" cy="238125"/>
                    </a:xfrm>
                    <a:prstGeom prst="rect">
                      <a:avLst/>
                    </a:prstGeom>
                    <a:noFill/>
                    <a:ln>
                      <a:noFill/>
                    </a:ln>
                  </pic:spPr>
                </pic:pic>
              </a:graphicData>
            </a:graphic>
          </wp:inline>
        </w:drawing>
      </w:r>
      <w:r>
        <w:rPr>
          <w:rFonts w:ascii="Arial" w:hAnsi="Arial" w:cs="Arial"/>
          <w:sz w:val="20"/>
          <w:szCs w:val="20"/>
        </w:rPr>
        <w:t xml:space="preserve"> - средневзвешенная нерегулируемая цена на электрическую энергию (мощность) за предыдущий расчетный период (t), определяемая с учетом данных, известных в расчетный период (m), по формуле (8),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lastRenderedPageBreak/>
        <w:drawing>
          <wp:inline distT="0" distB="0" distL="0" distR="0">
            <wp:extent cx="866775" cy="238125"/>
            <wp:effectExtent l="0" t="0" r="9525" b="952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558" cstate="print">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Pr>
          <w:rFonts w:ascii="Arial" w:hAnsi="Arial" w:cs="Arial"/>
          <w:sz w:val="20"/>
          <w:szCs w:val="20"/>
        </w:rPr>
        <w:t xml:space="preserve"> - сумма объемов потребления электрической энергии за предыдущий расчетный период (t) потребителями (покупателями), осуществлявшими расчеты с гарантирующим поставщиком по первой ценовой категории, определенных с учетом данных, известных в расчетный период (m), 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571500" cy="238125"/>
            <wp:effectExtent l="0" t="0" r="0" b="952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559" cstate="print">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Pr>
          <w:rFonts w:ascii="Arial" w:hAnsi="Arial" w:cs="Arial"/>
          <w:sz w:val="20"/>
          <w:szCs w:val="20"/>
        </w:rPr>
        <w:t xml:space="preserve"> - средневзвешенная нерегулируемая цена на электрическую энергию (мощность) за предыдущий расчетный период (t), определяемая гарантирующим поставщиком в соответствии с настоящими Правилами по формулам (2) или (3) и опубликованная на официальном сайте гарантирующего поставщика в сети Интернет,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419100" cy="238125"/>
            <wp:effectExtent l="0" t="0" r="0" b="952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560"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Pr>
          <w:rFonts w:ascii="Arial" w:hAnsi="Arial" w:cs="Arial"/>
          <w:sz w:val="20"/>
          <w:szCs w:val="20"/>
        </w:rPr>
        <w:t xml:space="preserve"> - сумма объемов потребления электрической энергии за предыдущий расчетный период (t) потребителями (покупателями), осуществлявшими расчеты по первой ценовой категории, с учетом данных, известных в расчетный период (t), 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419100" cy="238125"/>
            <wp:effectExtent l="0" t="0" r="0" b="9525"/>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561"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Pr>
          <w:rFonts w:ascii="Arial" w:hAnsi="Arial" w:cs="Arial"/>
          <w:sz w:val="20"/>
          <w:szCs w:val="20"/>
        </w:rPr>
        <w:t xml:space="preserve"> -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известных в расчетный период (m), 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4(6). Средневзвешенная нерегулируемая цена на электрическую энергию (мощность) за предыдущий расчетный период (t), определенная с учетом данных, известных в расчетный период (m), рублей/МВт·ч, рассчитывается по формуле:</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2886075" cy="238125"/>
            <wp:effectExtent l="0" t="0" r="9525" b="9525"/>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562" cstate="print">
                      <a:extLst>
                        <a:ext uri="{28A0092B-C50C-407E-A947-70E740481C1C}">
                          <a14:useLocalDpi xmlns:a14="http://schemas.microsoft.com/office/drawing/2010/main" val="0"/>
                        </a:ext>
                      </a:extLst>
                    </a:blip>
                    <a:srcRect/>
                    <a:stretch>
                      <a:fillRect/>
                    </a:stretch>
                  </pic:blipFill>
                  <pic:spPr bwMode="auto">
                    <a:xfrm>
                      <a:off x="0" y="0"/>
                      <a:ext cx="2886075" cy="238125"/>
                    </a:xfrm>
                    <a:prstGeom prst="rect">
                      <a:avLst/>
                    </a:prstGeom>
                    <a:noFill/>
                    <a:ln>
                      <a:noFill/>
                    </a:ln>
                  </pic:spPr>
                </pic:pic>
              </a:graphicData>
            </a:graphic>
          </wp:inline>
        </w:drawing>
      </w:r>
      <w:r>
        <w:rPr>
          <w:rFonts w:ascii="Arial" w:hAnsi="Arial" w:cs="Arial"/>
          <w:sz w:val="20"/>
          <w:szCs w:val="20"/>
        </w:rPr>
        <w:t>, (8)</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447675" cy="238125"/>
            <wp:effectExtent l="0" t="0" r="9525" b="9525"/>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563" cstate="print">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Pr>
          <w:rFonts w:ascii="Arial" w:hAnsi="Arial" w:cs="Arial"/>
          <w:sz w:val="20"/>
          <w:szCs w:val="20"/>
        </w:rPr>
        <w:t xml:space="preserve"> - средневзвешенная нерегулируемая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предыдущего расчетного периода (t),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571500" cy="238125"/>
            <wp:effectExtent l="0" t="0" r="0" b="952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564" cstate="print">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Pr>
          <w:rFonts w:ascii="Arial" w:hAnsi="Arial" w:cs="Arial"/>
          <w:sz w:val="20"/>
          <w:szCs w:val="20"/>
        </w:rPr>
        <w:t xml:space="preserve"> - коэффициент оплаты мощности потребителями (покупателями), осуществляющими расчеты по первой ценовой категории, за расчетный период (t), предшествующий расчетному периоду (m), определяемый гарантирующим поставщиком по формуле (4) с учетом данных, известных в расчетный период (m), 1/час;</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495300" cy="238125"/>
            <wp:effectExtent l="0" t="0" r="0" b="9525"/>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565"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Pr>
          <w:rFonts w:ascii="Arial" w:hAnsi="Arial" w:cs="Arial"/>
          <w:sz w:val="20"/>
          <w:szCs w:val="20"/>
        </w:rP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(t), рублей/МВт.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5. Предельный уровень нерегулируемых цен для второй ценовой категории определяется гарантирующим поставщиком по формуле:</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2667000" cy="238125"/>
            <wp:effectExtent l="0" t="0" r="0" b="9525"/>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566" cstate="print">
                      <a:extLst>
                        <a:ext uri="{28A0092B-C50C-407E-A947-70E740481C1C}">
                          <a14:useLocalDpi xmlns:a14="http://schemas.microsoft.com/office/drawing/2010/main" val="0"/>
                        </a:ext>
                      </a:extLst>
                    </a:blip>
                    <a:srcRect/>
                    <a:stretch>
                      <a:fillRect/>
                    </a:stretch>
                  </pic:blipFill>
                  <pic:spPr bwMode="auto">
                    <a:xfrm>
                      <a:off x="0" y="0"/>
                      <a:ext cx="2667000" cy="238125"/>
                    </a:xfrm>
                    <a:prstGeom prst="rect">
                      <a:avLst/>
                    </a:prstGeom>
                    <a:noFill/>
                    <a:ln>
                      <a:noFill/>
                    </a:ln>
                  </pic:spPr>
                </pic:pic>
              </a:graphicData>
            </a:graphic>
          </wp:inline>
        </w:drawing>
      </w:r>
      <w:r>
        <w:rPr>
          <w:rFonts w:ascii="Arial" w:hAnsi="Arial" w:cs="Arial"/>
          <w:sz w:val="20"/>
          <w:szCs w:val="20"/>
        </w:rPr>
        <w:t>, (9)</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571500" cy="257175"/>
            <wp:effectExtent l="0" t="0" r="0" b="952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567"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Pr>
          <w:rFonts w:ascii="Arial" w:hAnsi="Arial" w:cs="Arial"/>
          <w:sz w:val="20"/>
          <w:szCs w:val="20"/>
        </w:rPr>
        <w:t xml:space="preserve"> - предельный уровень нерегулируемых цен для второй ценовой категории, в рамках которого нерегулируемая цена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зоне суток (z) расчетного периода (m),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571500" cy="257175"/>
            <wp:effectExtent l="0" t="0" r="0" b="952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568"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Pr>
          <w:rFonts w:ascii="Arial" w:hAnsi="Arial" w:cs="Arial"/>
          <w:sz w:val="20"/>
          <w:szCs w:val="20"/>
        </w:rPr>
        <w:t xml:space="preserve"> -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расчетного </w:t>
      </w:r>
      <w:r>
        <w:rPr>
          <w:rFonts w:ascii="Arial" w:hAnsi="Arial" w:cs="Arial"/>
          <w:sz w:val="20"/>
          <w:szCs w:val="20"/>
        </w:rPr>
        <w:lastRenderedPageBreak/>
        <w:t>периода (m), определенная в отношении гарантирующего поставщика и опубликованная коммерческим оператором оптового рынка на своем сайте в сети Интернет,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42900" cy="257175"/>
            <wp:effectExtent l="0" t="0" r="0" b="9525"/>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Pr>
          <w:rFonts w:ascii="Arial" w:hAnsi="Arial" w:cs="Arial"/>
          <w:sz w:val="20"/>
          <w:szCs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304800" cy="238125"/>
            <wp:effectExtent l="0" t="0" r="0" b="952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70"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Pr>
          <w:rFonts w:ascii="Arial" w:hAnsi="Arial" w:cs="Arial"/>
          <w:sz w:val="20"/>
          <w:szCs w:val="20"/>
        </w:rP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447675" cy="257175"/>
            <wp:effectExtent l="0" t="0" r="9525" b="952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571"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Pr>
          <w:rFonts w:ascii="Arial" w:hAnsi="Arial" w:cs="Arial"/>
          <w:sz w:val="20"/>
          <w:szCs w:val="20"/>
        </w:rPr>
        <w:t xml:space="preserve"> - сбытовая надбавка гарантирующего поставщика, учитываемая в стоимости электрической энергии (мощности) и определяемая в отношении зоны суток (z) расчетного периода (m) для второй ценовой категории и n-й группы (подгруппы) потребителей в соответствии с </w:t>
      </w:r>
      <w:hyperlink r:id="rId1572" w:history="1">
        <w:r>
          <w:rPr>
            <w:rFonts w:ascii="Arial" w:hAnsi="Arial" w:cs="Arial"/>
            <w:color w:val="0000FF"/>
            <w:sz w:val="20"/>
            <w:szCs w:val="20"/>
          </w:rPr>
          <w:t>Основами</w:t>
        </w:r>
      </w:hyperlink>
      <w:r>
        <w:rPr>
          <w:rFonts w:ascii="Arial" w:hAnsi="Arial" w:cs="Arial"/>
          <w:sz w:val="20"/>
          <w:szCs w:val="20"/>
        </w:rPr>
        <w:t xml:space="preserve"> ценообразования в области регулируемых цен (тарифов) в электроэнергетике,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6. Предельный уровень нерегулируемых цен для третьей ценовой категории состоит из ставки за электрическую энергию и ставки за мощность и определяется гарантирующим поставщиком по формулам:</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2657475" cy="238125"/>
            <wp:effectExtent l="0" t="0" r="9525" b="9525"/>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573" cstate="print">
                      <a:extLst>
                        <a:ext uri="{28A0092B-C50C-407E-A947-70E740481C1C}">
                          <a14:useLocalDpi xmlns:a14="http://schemas.microsoft.com/office/drawing/2010/main" val="0"/>
                        </a:ext>
                      </a:extLst>
                    </a:blip>
                    <a:srcRect/>
                    <a:stretch>
                      <a:fillRect/>
                    </a:stretch>
                  </pic:blipFill>
                  <pic:spPr bwMode="auto">
                    <a:xfrm>
                      <a:off x="0" y="0"/>
                      <a:ext cx="2657475" cy="238125"/>
                    </a:xfrm>
                    <a:prstGeom prst="rect">
                      <a:avLst/>
                    </a:prstGeom>
                    <a:noFill/>
                    <a:ln>
                      <a:noFill/>
                    </a:ln>
                  </pic:spPr>
                </pic:pic>
              </a:graphicData>
            </a:graphic>
          </wp:inline>
        </w:drawing>
      </w:r>
      <w:r>
        <w:rPr>
          <w:rFonts w:ascii="Arial" w:hAnsi="Arial" w:cs="Arial"/>
          <w:sz w:val="20"/>
          <w:szCs w:val="20"/>
        </w:rPr>
        <w:t>, (10)</w:t>
      </w:r>
    </w:p>
    <w:p w:rsidR="009F5AFE" w:rsidRDefault="009F5AFE" w:rsidP="009F5AFE">
      <w:pPr>
        <w:autoSpaceDE w:val="0"/>
        <w:autoSpaceDN w:val="0"/>
        <w:adjustRightInd w:val="0"/>
        <w:spacing w:after="0" w:line="240" w:lineRule="auto"/>
        <w:jc w:val="center"/>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1790700" cy="238125"/>
            <wp:effectExtent l="0" t="0" r="0" b="952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574" cstate="print">
                      <a:extLst>
                        <a:ext uri="{28A0092B-C50C-407E-A947-70E740481C1C}">
                          <a14:useLocalDpi xmlns:a14="http://schemas.microsoft.com/office/drawing/2010/main" val="0"/>
                        </a:ext>
                      </a:extLst>
                    </a:blip>
                    <a:srcRect/>
                    <a:stretch>
                      <a:fillRect/>
                    </a:stretch>
                  </pic:blipFill>
                  <pic:spPr bwMode="auto">
                    <a:xfrm>
                      <a:off x="0" y="0"/>
                      <a:ext cx="1790700" cy="238125"/>
                    </a:xfrm>
                    <a:prstGeom prst="rect">
                      <a:avLst/>
                    </a:prstGeom>
                    <a:noFill/>
                    <a:ln>
                      <a:noFill/>
                    </a:ln>
                  </pic:spPr>
                </pic:pic>
              </a:graphicData>
            </a:graphic>
          </wp:inline>
        </w:drawing>
      </w:r>
      <w:r>
        <w:rPr>
          <w:rFonts w:ascii="Arial" w:hAnsi="Arial" w:cs="Arial"/>
          <w:sz w:val="20"/>
          <w:szCs w:val="20"/>
        </w:rPr>
        <w:t>, (11)</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657225" cy="257175"/>
            <wp:effectExtent l="0" t="0" r="9525" b="952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575"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Pr>
          <w:rFonts w:ascii="Arial" w:hAnsi="Arial" w:cs="Arial"/>
          <w:sz w:val="20"/>
          <w:szCs w:val="20"/>
        </w:rPr>
        <w:t xml:space="preserve"> - ставка за электрическую энергию предельного уровня нерегулируемых цен для третьей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609600" cy="257175"/>
            <wp:effectExtent l="0" t="0" r="0" b="9525"/>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576"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Pr>
          <w:rFonts w:ascii="Arial" w:hAnsi="Arial" w:cs="Arial"/>
          <w:sz w:val="20"/>
          <w:szCs w:val="20"/>
        </w:rP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расчетного периода (m), определенная и опубликованная коммерческим оператором оптового рынка на своем сайте в сети Интернет,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42900" cy="257175"/>
            <wp:effectExtent l="0" t="0" r="0" b="952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577"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Pr>
          <w:rFonts w:ascii="Arial" w:hAnsi="Arial" w:cs="Arial"/>
          <w:sz w:val="20"/>
          <w:szCs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304800" cy="238125"/>
            <wp:effectExtent l="0" t="0" r="0" b="9525"/>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578"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Pr>
          <w:rFonts w:ascii="Arial" w:hAnsi="Arial" w:cs="Arial"/>
          <w:sz w:val="20"/>
          <w:szCs w:val="20"/>
        </w:rP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81000" cy="257175"/>
            <wp:effectExtent l="0" t="0" r="0" b="9525"/>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579"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Pr>
          <w:rFonts w:ascii="Arial" w:hAnsi="Arial" w:cs="Arial"/>
          <w:sz w:val="20"/>
          <w:szCs w:val="20"/>
        </w:rPr>
        <w:t xml:space="preserve">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w:t>
      </w:r>
      <w:hyperlink r:id="rId1580" w:history="1">
        <w:r>
          <w:rPr>
            <w:rFonts w:ascii="Arial" w:hAnsi="Arial" w:cs="Arial"/>
            <w:color w:val="0000FF"/>
            <w:sz w:val="20"/>
            <w:szCs w:val="20"/>
          </w:rPr>
          <w:t>Основами</w:t>
        </w:r>
      </w:hyperlink>
      <w:r>
        <w:rPr>
          <w:rFonts w:ascii="Arial" w:hAnsi="Arial" w:cs="Arial"/>
          <w:sz w:val="20"/>
          <w:szCs w:val="20"/>
        </w:rPr>
        <w:t xml:space="preserve"> ценообразования в области регулируемых цен (тарифов) в электроэнергетике,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lastRenderedPageBreak/>
        <w:drawing>
          <wp:inline distT="0" distB="0" distL="0" distR="0">
            <wp:extent cx="666750" cy="257175"/>
            <wp:effectExtent l="0" t="0" r="0" b="952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581" cstate="print">
                      <a:extLst>
                        <a:ext uri="{28A0092B-C50C-407E-A947-70E740481C1C}">
                          <a14:useLocalDpi xmlns:a14="http://schemas.microsoft.com/office/drawing/2010/main" val="0"/>
                        </a:ext>
                      </a:extLst>
                    </a:blip>
                    <a:srcRect/>
                    <a:stretch>
                      <a:fillRect/>
                    </a:stretch>
                  </pic:blipFill>
                  <pic:spPr bwMode="auto">
                    <a:xfrm>
                      <a:off x="0" y="0"/>
                      <a:ext cx="666750" cy="257175"/>
                    </a:xfrm>
                    <a:prstGeom prst="rect">
                      <a:avLst/>
                    </a:prstGeom>
                    <a:noFill/>
                    <a:ln>
                      <a:noFill/>
                    </a:ln>
                  </pic:spPr>
                </pic:pic>
              </a:graphicData>
            </a:graphic>
          </wp:inline>
        </w:drawing>
      </w:r>
      <w:r>
        <w:rPr>
          <w:rFonts w:ascii="Arial" w:hAnsi="Arial" w:cs="Arial"/>
          <w:sz w:val="20"/>
          <w:szCs w:val="20"/>
        </w:rPr>
        <w:t xml:space="preserve"> - ставка за мощность предельного уровня нерегулируемых цен для третьей ценовой категории, определяемая гарантирующим поставщиком в отношении поставляемого за расчетный период (m) потребителю (покупателю), принадлежащему к n-й группе (подгруппе) потребителей, объема мощности, рублей/МВт;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495300" cy="238125"/>
            <wp:effectExtent l="0" t="0" r="0" b="9525"/>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Pr>
          <w:rFonts w:ascii="Arial" w:hAnsi="Arial" w:cs="Arial"/>
          <w:sz w:val="20"/>
          <w:szCs w:val="20"/>
        </w:rP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90525" cy="257175"/>
            <wp:effectExtent l="0" t="0" r="9525" b="9525"/>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583"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Pr>
          <w:rFonts w:ascii="Arial" w:hAnsi="Arial" w:cs="Arial"/>
          <w:sz w:val="20"/>
          <w:szCs w:val="20"/>
        </w:rP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1584" w:history="1">
        <w:r>
          <w:rPr>
            <w:rFonts w:ascii="Arial" w:hAnsi="Arial" w:cs="Arial"/>
            <w:color w:val="0000FF"/>
            <w:sz w:val="20"/>
            <w:szCs w:val="20"/>
          </w:rPr>
          <w:t>Основами</w:t>
        </w:r>
      </w:hyperlink>
      <w:r>
        <w:rPr>
          <w:rFonts w:ascii="Arial" w:hAnsi="Arial" w:cs="Arial"/>
          <w:sz w:val="20"/>
          <w:szCs w:val="20"/>
        </w:rPr>
        <w:t xml:space="preserve"> ценообразования в области регулируемых цен (тарифов) в электроэнергетике, рублей/МВт.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7. Предельный уровень нерегулируемых цен для четвертой ценовой категории состоит из ставки за электрическую энергию и ставок за мощность и определяется гарантирующим поставщиком по формулам:</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2790825" cy="238125"/>
            <wp:effectExtent l="0" t="0" r="9525" b="9525"/>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2790825" cy="238125"/>
                    </a:xfrm>
                    <a:prstGeom prst="rect">
                      <a:avLst/>
                    </a:prstGeom>
                    <a:noFill/>
                    <a:ln>
                      <a:noFill/>
                    </a:ln>
                  </pic:spPr>
                </pic:pic>
              </a:graphicData>
            </a:graphic>
          </wp:inline>
        </w:drawing>
      </w:r>
      <w:r>
        <w:rPr>
          <w:rFonts w:ascii="Arial" w:hAnsi="Arial" w:cs="Arial"/>
          <w:sz w:val="20"/>
          <w:szCs w:val="20"/>
        </w:rPr>
        <w:t>, (12)</w:t>
      </w:r>
    </w:p>
    <w:p w:rsidR="009F5AFE" w:rsidRDefault="009F5AFE" w:rsidP="009F5AFE">
      <w:pPr>
        <w:autoSpaceDE w:val="0"/>
        <w:autoSpaceDN w:val="0"/>
        <w:adjustRightInd w:val="0"/>
        <w:spacing w:after="0" w:line="240" w:lineRule="auto"/>
        <w:jc w:val="center"/>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1790700" cy="238125"/>
            <wp:effectExtent l="0" t="0" r="0" b="952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586" cstate="print">
                      <a:extLst>
                        <a:ext uri="{28A0092B-C50C-407E-A947-70E740481C1C}">
                          <a14:useLocalDpi xmlns:a14="http://schemas.microsoft.com/office/drawing/2010/main" val="0"/>
                        </a:ext>
                      </a:extLst>
                    </a:blip>
                    <a:srcRect/>
                    <a:stretch>
                      <a:fillRect/>
                    </a:stretch>
                  </pic:blipFill>
                  <pic:spPr bwMode="auto">
                    <a:xfrm>
                      <a:off x="0" y="0"/>
                      <a:ext cx="1790700" cy="238125"/>
                    </a:xfrm>
                    <a:prstGeom prst="rect">
                      <a:avLst/>
                    </a:prstGeom>
                    <a:noFill/>
                    <a:ln>
                      <a:noFill/>
                    </a:ln>
                  </pic:spPr>
                </pic:pic>
              </a:graphicData>
            </a:graphic>
          </wp:inline>
        </w:drawing>
      </w:r>
      <w:r>
        <w:rPr>
          <w:rFonts w:ascii="Arial" w:hAnsi="Arial" w:cs="Arial"/>
          <w:sz w:val="20"/>
          <w:szCs w:val="20"/>
        </w:rPr>
        <w:t>, (13)</w:t>
      </w:r>
    </w:p>
    <w:p w:rsidR="009F5AFE" w:rsidRDefault="009F5AFE" w:rsidP="009F5AFE">
      <w:pPr>
        <w:autoSpaceDE w:val="0"/>
        <w:autoSpaceDN w:val="0"/>
        <w:adjustRightInd w:val="0"/>
        <w:spacing w:after="0" w:line="240" w:lineRule="auto"/>
        <w:jc w:val="center"/>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10"/>
          <w:sz w:val="20"/>
          <w:szCs w:val="20"/>
          <w:lang w:eastAsia="ru-RU"/>
        </w:rPr>
        <w:drawing>
          <wp:inline distT="0" distB="0" distL="0" distR="0">
            <wp:extent cx="1190625" cy="257175"/>
            <wp:effectExtent l="0" t="0" r="9525" b="952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587" cstate="print">
                      <a:extLst>
                        <a:ext uri="{28A0092B-C50C-407E-A947-70E740481C1C}">
                          <a14:useLocalDpi xmlns:a14="http://schemas.microsoft.com/office/drawing/2010/main" val="0"/>
                        </a:ext>
                      </a:extLst>
                    </a:blip>
                    <a:srcRect/>
                    <a:stretch>
                      <a:fillRect/>
                    </a:stretch>
                  </pic:blipFill>
                  <pic:spPr bwMode="auto">
                    <a:xfrm>
                      <a:off x="0" y="0"/>
                      <a:ext cx="1190625" cy="257175"/>
                    </a:xfrm>
                    <a:prstGeom prst="rect">
                      <a:avLst/>
                    </a:prstGeom>
                    <a:noFill/>
                    <a:ln>
                      <a:noFill/>
                    </a:ln>
                  </pic:spPr>
                </pic:pic>
              </a:graphicData>
            </a:graphic>
          </wp:inline>
        </w:drawing>
      </w:r>
      <w:r>
        <w:rPr>
          <w:rFonts w:ascii="Arial" w:hAnsi="Arial" w:cs="Arial"/>
          <w:sz w:val="20"/>
          <w:szCs w:val="20"/>
        </w:rPr>
        <w:t>, (14)</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657225" cy="257175"/>
            <wp:effectExtent l="0" t="0" r="9525" b="952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588"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Pr>
          <w:rFonts w:ascii="Arial" w:hAnsi="Arial" w:cs="Arial"/>
          <w:sz w:val="20"/>
          <w:szCs w:val="20"/>
        </w:rPr>
        <w:t xml:space="preserve"> - ставка за электрическую энергию предельного уровня нерегулируемых цен для четвертой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609600" cy="257175"/>
            <wp:effectExtent l="0" t="0" r="0" b="952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589"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Pr>
          <w:rFonts w:ascii="Arial" w:hAnsi="Arial" w:cs="Arial"/>
          <w:sz w:val="20"/>
          <w:szCs w:val="20"/>
        </w:rP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расчетного периода (m), определенная и опубликованная коммерческим оператором оптового рынка на своем сайте в сети Интернет,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419100" cy="257175"/>
            <wp:effectExtent l="0" t="0" r="0" b="952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rFonts w:ascii="Arial" w:hAnsi="Arial" w:cs="Arial"/>
          <w:sz w:val="20"/>
          <w:szCs w:val="20"/>
        </w:rPr>
        <w:t xml:space="preserve"> - дифференцированная по уровням напряжения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304800" cy="238125"/>
            <wp:effectExtent l="0" t="0" r="0" b="952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Pr>
          <w:rFonts w:ascii="Arial" w:hAnsi="Arial" w:cs="Arial"/>
          <w:sz w:val="20"/>
          <w:szCs w:val="20"/>
        </w:rP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81000" cy="257175"/>
            <wp:effectExtent l="0" t="0" r="0" b="9525"/>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592"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Pr>
          <w:rFonts w:ascii="Arial" w:hAnsi="Arial" w:cs="Arial"/>
          <w:sz w:val="20"/>
          <w:szCs w:val="20"/>
        </w:rPr>
        <w:t xml:space="preserve">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w:t>
      </w:r>
      <w:hyperlink r:id="rId1593" w:history="1">
        <w:r>
          <w:rPr>
            <w:rFonts w:ascii="Arial" w:hAnsi="Arial" w:cs="Arial"/>
            <w:color w:val="0000FF"/>
            <w:sz w:val="20"/>
            <w:szCs w:val="20"/>
          </w:rPr>
          <w:t>Основами</w:t>
        </w:r>
      </w:hyperlink>
      <w:r>
        <w:rPr>
          <w:rFonts w:ascii="Arial" w:hAnsi="Arial" w:cs="Arial"/>
          <w:sz w:val="20"/>
          <w:szCs w:val="20"/>
        </w:rPr>
        <w:t xml:space="preserve"> ценообразования в области регулируемых цен (тарифов) в электроэнергетике,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lastRenderedPageBreak/>
        <w:drawing>
          <wp:inline distT="0" distB="0" distL="0" distR="0">
            <wp:extent cx="666750" cy="257175"/>
            <wp:effectExtent l="0" t="0" r="0" b="952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666750" cy="257175"/>
                    </a:xfrm>
                    <a:prstGeom prst="rect">
                      <a:avLst/>
                    </a:prstGeom>
                    <a:noFill/>
                    <a:ln>
                      <a:noFill/>
                    </a:ln>
                  </pic:spPr>
                </pic:pic>
              </a:graphicData>
            </a:graphic>
          </wp:inline>
        </w:drawing>
      </w:r>
      <w:r>
        <w:rPr>
          <w:rFonts w:ascii="Arial" w:hAnsi="Arial" w:cs="Arial"/>
          <w:sz w:val="20"/>
          <w:szCs w:val="20"/>
        </w:rPr>
        <w:t xml:space="preserve"> - ставка за мощность предельного уровня нерегулируемых цен для четвертой ценовой категории, определяемая гарантирующим поставщиком в отношении поставляемого за расчетный период (m) потребителю (покупателю), принадлежащему к n-й группе (подгруппе) потребителей, объема мощности, рублей/МВт;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495300" cy="238125"/>
            <wp:effectExtent l="0" t="0" r="0" b="952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Pr>
          <w:rFonts w:ascii="Arial" w:hAnsi="Arial" w:cs="Arial"/>
          <w:sz w:val="20"/>
          <w:szCs w:val="20"/>
        </w:rP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90525" cy="257175"/>
            <wp:effectExtent l="0" t="0" r="9525" b="952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Pr>
          <w:rFonts w:ascii="Arial" w:hAnsi="Arial" w:cs="Arial"/>
          <w:sz w:val="20"/>
          <w:szCs w:val="20"/>
        </w:rP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1597" w:history="1">
        <w:r>
          <w:rPr>
            <w:rFonts w:ascii="Arial" w:hAnsi="Arial" w:cs="Arial"/>
            <w:color w:val="0000FF"/>
            <w:sz w:val="20"/>
            <w:szCs w:val="20"/>
          </w:rPr>
          <w:t>Основами</w:t>
        </w:r>
      </w:hyperlink>
      <w:r>
        <w:rPr>
          <w:rFonts w:ascii="Arial" w:hAnsi="Arial" w:cs="Arial"/>
          <w:sz w:val="20"/>
          <w:szCs w:val="20"/>
        </w:rPr>
        <w:t xml:space="preserve"> ценообразования в области регулируемых цен (тарифов) в электроэнергетике, рублей/МВт;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657225" cy="257175"/>
            <wp:effectExtent l="0" t="0" r="9525" b="952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Pr>
          <w:rFonts w:ascii="Arial" w:hAnsi="Arial" w:cs="Arial"/>
          <w:sz w:val="20"/>
          <w:szCs w:val="20"/>
        </w:rPr>
        <w:t xml:space="preserve"> -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для четвертой ценовой категории, применяемая гарантирующим поставщиком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599" w:history="1">
        <w:r>
          <w:rPr>
            <w:rFonts w:ascii="Arial" w:hAnsi="Arial" w:cs="Arial"/>
            <w:color w:val="0000FF"/>
            <w:sz w:val="20"/>
            <w:szCs w:val="20"/>
          </w:rPr>
          <w:t>Правилами</w:t>
        </w:r>
      </w:hyperlink>
      <w:r>
        <w:rPr>
          <w:rFonts w:ascii="Arial" w:hAnsi="Arial" w:cs="Arial"/>
          <w:sz w:val="20"/>
          <w:szCs w:val="20"/>
        </w:rP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рублей/МВт;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419100" cy="257175"/>
            <wp:effectExtent l="0" t="0" r="0" b="952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600"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rFonts w:ascii="Arial" w:hAnsi="Arial" w:cs="Arial"/>
          <w:sz w:val="20"/>
          <w:szCs w:val="20"/>
        </w:rP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8. Предельный уровень нерегулируемых цен для пятой ценовой категории состоит из ставок за электрическую энергию и ставки за мощность и определяется гарантирующим поставщиком по формулам:</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2847975" cy="238125"/>
            <wp:effectExtent l="0" t="0" r="9525" b="952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2847975" cy="238125"/>
                    </a:xfrm>
                    <a:prstGeom prst="rect">
                      <a:avLst/>
                    </a:prstGeom>
                    <a:noFill/>
                    <a:ln>
                      <a:noFill/>
                    </a:ln>
                  </pic:spPr>
                </pic:pic>
              </a:graphicData>
            </a:graphic>
          </wp:inline>
        </w:drawing>
      </w:r>
      <w:r>
        <w:rPr>
          <w:rFonts w:ascii="Arial" w:hAnsi="Arial" w:cs="Arial"/>
          <w:sz w:val="20"/>
          <w:szCs w:val="20"/>
        </w:rPr>
        <w:t>, (15)</w:t>
      </w:r>
    </w:p>
    <w:p w:rsidR="009F5AFE" w:rsidRDefault="009F5AFE" w:rsidP="009F5AFE">
      <w:pPr>
        <w:autoSpaceDE w:val="0"/>
        <w:autoSpaceDN w:val="0"/>
        <w:adjustRightInd w:val="0"/>
        <w:spacing w:after="0" w:line="240" w:lineRule="auto"/>
        <w:jc w:val="center"/>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1857375" cy="238125"/>
            <wp:effectExtent l="0" t="0" r="9525" b="9525"/>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1857375" cy="238125"/>
                    </a:xfrm>
                    <a:prstGeom prst="rect">
                      <a:avLst/>
                    </a:prstGeom>
                    <a:noFill/>
                    <a:ln>
                      <a:noFill/>
                    </a:ln>
                  </pic:spPr>
                </pic:pic>
              </a:graphicData>
            </a:graphic>
          </wp:inline>
        </w:drawing>
      </w:r>
      <w:r>
        <w:rPr>
          <w:rFonts w:ascii="Arial" w:hAnsi="Arial" w:cs="Arial"/>
          <w:sz w:val="20"/>
          <w:szCs w:val="20"/>
        </w:rPr>
        <w:t>, (16)</w:t>
      </w:r>
    </w:p>
    <w:p w:rsidR="009F5AFE" w:rsidRDefault="009F5AFE" w:rsidP="009F5AFE">
      <w:pPr>
        <w:autoSpaceDE w:val="0"/>
        <w:autoSpaceDN w:val="0"/>
        <w:adjustRightInd w:val="0"/>
        <w:spacing w:after="0" w:line="240" w:lineRule="auto"/>
        <w:jc w:val="center"/>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1828800" cy="238125"/>
            <wp:effectExtent l="0" t="0" r="0" b="9525"/>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603" cstate="print">
                      <a:extLst>
                        <a:ext uri="{28A0092B-C50C-407E-A947-70E740481C1C}">
                          <a14:useLocalDpi xmlns:a14="http://schemas.microsoft.com/office/drawing/2010/main" val="0"/>
                        </a:ext>
                      </a:extLst>
                    </a:blip>
                    <a:srcRect/>
                    <a:stretch>
                      <a:fillRect/>
                    </a:stretch>
                  </pic:blipFill>
                  <pic:spPr bwMode="auto">
                    <a:xfrm>
                      <a:off x="0" y="0"/>
                      <a:ext cx="1828800" cy="238125"/>
                    </a:xfrm>
                    <a:prstGeom prst="rect">
                      <a:avLst/>
                    </a:prstGeom>
                    <a:noFill/>
                    <a:ln>
                      <a:noFill/>
                    </a:ln>
                  </pic:spPr>
                </pic:pic>
              </a:graphicData>
            </a:graphic>
          </wp:inline>
        </w:drawing>
      </w:r>
      <w:r>
        <w:rPr>
          <w:rFonts w:ascii="Arial" w:hAnsi="Arial" w:cs="Arial"/>
          <w:sz w:val="20"/>
          <w:szCs w:val="20"/>
        </w:rPr>
        <w:t>, (17)</w:t>
      </w:r>
    </w:p>
    <w:p w:rsidR="009F5AFE" w:rsidRDefault="009F5AFE" w:rsidP="009F5AFE">
      <w:pPr>
        <w:autoSpaceDE w:val="0"/>
        <w:autoSpaceDN w:val="0"/>
        <w:adjustRightInd w:val="0"/>
        <w:spacing w:after="0" w:line="240" w:lineRule="auto"/>
        <w:jc w:val="center"/>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12"/>
          <w:sz w:val="20"/>
          <w:szCs w:val="20"/>
          <w:lang w:eastAsia="ru-RU"/>
        </w:rPr>
        <w:drawing>
          <wp:inline distT="0" distB="0" distL="0" distR="0">
            <wp:extent cx="2124075" cy="276225"/>
            <wp:effectExtent l="0" t="0" r="9525" b="9525"/>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2124075" cy="276225"/>
                    </a:xfrm>
                    <a:prstGeom prst="rect">
                      <a:avLst/>
                    </a:prstGeom>
                    <a:noFill/>
                    <a:ln>
                      <a:noFill/>
                    </a:ln>
                  </pic:spPr>
                </pic:pic>
              </a:graphicData>
            </a:graphic>
          </wp:inline>
        </w:drawing>
      </w:r>
      <w:r>
        <w:rPr>
          <w:rFonts w:ascii="Arial" w:hAnsi="Arial" w:cs="Arial"/>
          <w:sz w:val="20"/>
          <w:szCs w:val="20"/>
        </w:rPr>
        <w:t>, (18)</w:t>
      </w:r>
    </w:p>
    <w:p w:rsidR="009F5AFE" w:rsidRDefault="009F5AFE" w:rsidP="009F5AFE">
      <w:pPr>
        <w:autoSpaceDE w:val="0"/>
        <w:autoSpaceDN w:val="0"/>
        <w:adjustRightInd w:val="0"/>
        <w:spacing w:after="0" w:line="240" w:lineRule="auto"/>
        <w:jc w:val="center"/>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12"/>
          <w:sz w:val="20"/>
          <w:szCs w:val="20"/>
          <w:lang w:eastAsia="ru-RU"/>
        </w:rPr>
        <w:drawing>
          <wp:inline distT="0" distB="0" distL="0" distR="0">
            <wp:extent cx="2047875" cy="276225"/>
            <wp:effectExtent l="0" t="0" r="9525" b="952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605" cstate="print">
                      <a:extLst>
                        <a:ext uri="{28A0092B-C50C-407E-A947-70E740481C1C}">
                          <a14:useLocalDpi xmlns:a14="http://schemas.microsoft.com/office/drawing/2010/main" val="0"/>
                        </a:ext>
                      </a:extLst>
                    </a:blip>
                    <a:srcRect/>
                    <a:stretch>
                      <a:fillRect/>
                    </a:stretch>
                  </pic:blipFill>
                  <pic:spPr bwMode="auto">
                    <a:xfrm>
                      <a:off x="0" y="0"/>
                      <a:ext cx="2047875" cy="276225"/>
                    </a:xfrm>
                    <a:prstGeom prst="rect">
                      <a:avLst/>
                    </a:prstGeom>
                    <a:noFill/>
                    <a:ln>
                      <a:noFill/>
                    </a:ln>
                  </pic:spPr>
                </pic:pic>
              </a:graphicData>
            </a:graphic>
          </wp:inline>
        </w:drawing>
      </w:r>
      <w:r>
        <w:rPr>
          <w:rFonts w:ascii="Arial" w:hAnsi="Arial" w:cs="Arial"/>
          <w:sz w:val="20"/>
          <w:szCs w:val="20"/>
        </w:rPr>
        <w:t>, (19)</w:t>
      </w:r>
    </w:p>
    <w:p w:rsidR="009F5AFE" w:rsidRDefault="009F5AFE" w:rsidP="009F5AFE">
      <w:pPr>
        <w:autoSpaceDE w:val="0"/>
        <w:autoSpaceDN w:val="0"/>
        <w:adjustRightInd w:val="0"/>
        <w:spacing w:after="0" w:line="240" w:lineRule="auto"/>
        <w:jc w:val="center"/>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1790700" cy="238125"/>
            <wp:effectExtent l="0" t="0" r="0" b="952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606" cstate="print">
                      <a:extLst>
                        <a:ext uri="{28A0092B-C50C-407E-A947-70E740481C1C}">
                          <a14:useLocalDpi xmlns:a14="http://schemas.microsoft.com/office/drawing/2010/main" val="0"/>
                        </a:ext>
                      </a:extLst>
                    </a:blip>
                    <a:srcRect/>
                    <a:stretch>
                      <a:fillRect/>
                    </a:stretch>
                  </pic:blipFill>
                  <pic:spPr bwMode="auto">
                    <a:xfrm>
                      <a:off x="0" y="0"/>
                      <a:ext cx="1790700" cy="238125"/>
                    </a:xfrm>
                    <a:prstGeom prst="rect">
                      <a:avLst/>
                    </a:prstGeom>
                    <a:noFill/>
                    <a:ln>
                      <a:noFill/>
                    </a:ln>
                  </pic:spPr>
                </pic:pic>
              </a:graphicData>
            </a:graphic>
          </wp:inline>
        </w:drawing>
      </w:r>
      <w:r>
        <w:rPr>
          <w:rFonts w:ascii="Arial" w:hAnsi="Arial" w:cs="Arial"/>
          <w:sz w:val="20"/>
          <w:szCs w:val="20"/>
        </w:rPr>
        <w:t>, (20)</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685800" cy="238125"/>
            <wp:effectExtent l="0" t="0" r="0" b="9525"/>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607"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9"/>
          <w:sz w:val="20"/>
          <w:szCs w:val="20"/>
          <w:lang w:eastAsia="ru-RU"/>
        </w:rPr>
        <w:drawing>
          <wp:inline distT="0" distB="0" distL="0" distR="0">
            <wp:extent cx="685800" cy="238125"/>
            <wp:effectExtent l="0" t="0" r="0" b="9525"/>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608"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9"/>
          <w:sz w:val="20"/>
          <w:szCs w:val="20"/>
          <w:lang w:eastAsia="ru-RU"/>
        </w:rPr>
        <w:drawing>
          <wp:inline distT="0" distB="0" distL="0" distR="0">
            <wp:extent cx="685800" cy="238125"/>
            <wp:effectExtent l="0" t="0" r="0" b="952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9"/>
          <w:sz w:val="20"/>
          <w:szCs w:val="20"/>
          <w:lang w:eastAsia="ru-RU"/>
        </w:rPr>
        <w:drawing>
          <wp:inline distT="0" distB="0" distL="0" distR="0">
            <wp:extent cx="685800" cy="238125"/>
            <wp:effectExtent l="0" t="0" r="0" b="952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9"/>
          <w:sz w:val="20"/>
          <w:szCs w:val="20"/>
          <w:lang w:eastAsia="ru-RU"/>
        </w:rPr>
        <w:drawing>
          <wp:inline distT="0" distB="0" distL="0" distR="0">
            <wp:extent cx="685800" cy="238125"/>
            <wp:effectExtent l="0" t="0" r="0" b="952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Pr>
          <w:rFonts w:ascii="Arial" w:hAnsi="Arial" w:cs="Arial"/>
          <w:sz w:val="20"/>
          <w:szCs w:val="20"/>
        </w:rPr>
        <w:t xml:space="preserve"> - ставки за электрическую энергию предельного уровня нерегулируемых цен для пятой ценовой категории;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685800" cy="238125"/>
            <wp:effectExtent l="0" t="0" r="0" b="9525"/>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Pr>
          <w:rFonts w:ascii="Arial" w:hAnsi="Arial" w:cs="Arial"/>
          <w:sz w:val="20"/>
          <w:szCs w:val="20"/>
        </w:rPr>
        <w:t xml:space="preserve"> - ставка за электрическую энергию предельного уровня нерегулируемых цен, определяемая гарантирующим поставщиком для потребителей (покупателей), рассчитывающихся по пятой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w:t>
      </w:r>
      <w:r>
        <w:rPr>
          <w:rFonts w:ascii="Arial" w:hAnsi="Arial" w:cs="Arial"/>
          <w:sz w:val="20"/>
          <w:szCs w:val="20"/>
        </w:rPr>
        <w:lastRenderedPageBreak/>
        <w:t>потребителей, почасовому объему покупки электрической энергии по нерегулируемой цене на j-м уровне напряжения в час (h) расчетного периода (m),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676275" cy="257175"/>
            <wp:effectExtent l="0" t="0" r="9525" b="9525"/>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Pr>
          <w:rFonts w:ascii="Arial" w:hAnsi="Arial" w:cs="Arial"/>
          <w:sz w:val="20"/>
          <w:szCs w:val="20"/>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поставляемого в час (h) расчетного периода (m) объема электрической энергии,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42900" cy="257175"/>
            <wp:effectExtent l="0" t="0" r="0" b="952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614"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Pr>
          <w:rFonts w:ascii="Arial" w:hAnsi="Arial" w:cs="Arial"/>
          <w:sz w:val="20"/>
          <w:szCs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304800" cy="238125"/>
            <wp:effectExtent l="0" t="0" r="0" b="952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615"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Pr>
          <w:rFonts w:ascii="Arial" w:hAnsi="Arial" w:cs="Arial"/>
          <w:sz w:val="20"/>
          <w:szCs w:val="20"/>
        </w:rP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в соответствии с формулой (28),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400050" cy="257175"/>
            <wp:effectExtent l="0" t="0" r="0" b="952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400050" cy="257175"/>
                    </a:xfrm>
                    <a:prstGeom prst="rect">
                      <a:avLst/>
                    </a:prstGeom>
                    <a:noFill/>
                    <a:ln>
                      <a:noFill/>
                    </a:ln>
                  </pic:spPr>
                </pic:pic>
              </a:graphicData>
            </a:graphic>
          </wp:inline>
        </w:drawing>
      </w:r>
      <w:r>
        <w:rPr>
          <w:rFonts w:ascii="Arial" w:hAnsi="Arial" w:cs="Arial"/>
          <w:sz w:val="20"/>
          <w:szCs w:val="20"/>
        </w:rPr>
        <w:t xml:space="preserve"> - сбытовая надбавка гарантирующего поставщика, учитываемая в стоимости электрической энергии в ставке </w:t>
      </w:r>
      <w:r>
        <w:rPr>
          <w:rFonts w:ascii="Arial" w:hAnsi="Arial" w:cs="Arial"/>
          <w:noProof/>
          <w:position w:val="-9"/>
          <w:sz w:val="20"/>
          <w:szCs w:val="20"/>
          <w:lang w:eastAsia="ru-RU"/>
        </w:rPr>
        <w:drawing>
          <wp:inline distT="0" distB="0" distL="0" distR="0">
            <wp:extent cx="685800" cy="238125"/>
            <wp:effectExtent l="0" t="0" r="0" b="952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607"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Pr>
          <w:rFonts w:ascii="Arial" w:hAnsi="Arial" w:cs="Arial"/>
          <w:sz w:val="20"/>
          <w:szCs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1617" w:history="1">
        <w:r>
          <w:rPr>
            <w:rFonts w:ascii="Arial" w:hAnsi="Arial" w:cs="Arial"/>
            <w:color w:val="0000FF"/>
            <w:sz w:val="20"/>
            <w:szCs w:val="20"/>
          </w:rPr>
          <w:t>Основами</w:t>
        </w:r>
      </w:hyperlink>
      <w:r>
        <w:rPr>
          <w:rFonts w:ascii="Arial" w:hAnsi="Arial" w:cs="Arial"/>
          <w:sz w:val="20"/>
          <w:szCs w:val="20"/>
        </w:rPr>
        <w:t xml:space="preserve"> ценообразования в области регулируемых цен (тарифов) в электроэнергетике,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685800" cy="238125"/>
            <wp:effectExtent l="0" t="0" r="0" b="952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Pr>
          <w:rFonts w:ascii="Arial" w:hAnsi="Arial" w:cs="Arial"/>
          <w:sz w:val="20"/>
          <w:szCs w:val="20"/>
        </w:rP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расчетного периода (m),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561975" cy="257175"/>
            <wp:effectExtent l="0" t="0" r="9525" b="9525"/>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Pr>
          <w:rFonts w:ascii="Arial" w:hAnsi="Arial" w:cs="Arial"/>
          <w:sz w:val="20"/>
          <w:szCs w:val="20"/>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419100" cy="257175"/>
            <wp:effectExtent l="0" t="0" r="0" b="952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620"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rFonts w:ascii="Arial" w:hAnsi="Arial" w:cs="Arial"/>
          <w:sz w:val="20"/>
          <w:szCs w:val="20"/>
        </w:rPr>
        <w:t xml:space="preserve"> - сбытовая надбавка гарантирующего поставщика, учитываемая в стоимости электрической энергии в ставке </w:t>
      </w:r>
      <w:r>
        <w:rPr>
          <w:rFonts w:ascii="Arial" w:hAnsi="Arial" w:cs="Arial"/>
          <w:noProof/>
          <w:position w:val="-9"/>
          <w:sz w:val="20"/>
          <w:szCs w:val="20"/>
          <w:lang w:eastAsia="ru-RU"/>
        </w:rPr>
        <w:drawing>
          <wp:inline distT="0" distB="0" distL="0" distR="0">
            <wp:extent cx="685800" cy="238125"/>
            <wp:effectExtent l="0" t="0" r="0" b="952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Pr>
          <w:rFonts w:ascii="Arial" w:hAnsi="Arial" w:cs="Arial"/>
          <w:sz w:val="20"/>
          <w:szCs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1622" w:history="1">
        <w:r>
          <w:rPr>
            <w:rFonts w:ascii="Arial" w:hAnsi="Arial" w:cs="Arial"/>
            <w:color w:val="0000FF"/>
            <w:sz w:val="20"/>
            <w:szCs w:val="20"/>
          </w:rPr>
          <w:t>Основами</w:t>
        </w:r>
      </w:hyperlink>
      <w:r>
        <w:rPr>
          <w:rFonts w:ascii="Arial" w:hAnsi="Arial" w:cs="Arial"/>
          <w:sz w:val="20"/>
          <w:szCs w:val="20"/>
        </w:rPr>
        <w:t xml:space="preserve"> ценообразования в области регулируемых цен (тарифов) в электроэнергетике,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666750" cy="257175"/>
            <wp:effectExtent l="0" t="0" r="0" b="952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623" cstate="print">
                      <a:extLst>
                        <a:ext uri="{28A0092B-C50C-407E-A947-70E740481C1C}">
                          <a14:useLocalDpi xmlns:a14="http://schemas.microsoft.com/office/drawing/2010/main" val="0"/>
                        </a:ext>
                      </a:extLst>
                    </a:blip>
                    <a:srcRect/>
                    <a:stretch>
                      <a:fillRect/>
                    </a:stretch>
                  </pic:blipFill>
                  <pic:spPr bwMode="auto">
                    <a:xfrm>
                      <a:off x="0" y="0"/>
                      <a:ext cx="666750" cy="257175"/>
                    </a:xfrm>
                    <a:prstGeom prst="rect">
                      <a:avLst/>
                    </a:prstGeom>
                    <a:noFill/>
                    <a:ln>
                      <a:noFill/>
                    </a:ln>
                  </pic:spPr>
                </pic:pic>
              </a:graphicData>
            </a:graphic>
          </wp:inline>
        </w:drawing>
      </w:r>
      <w:r>
        <w:rPr>
          <w:rFonts w:ascii="Arial" w:hAnsi="Arial" w:cs="Arial"/>
          <w:sz w:val="20"/>
          <w:szCs w:val="20"/>
        </w:rP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расчетного периода (m),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523875" cy="257175"/>
            <wp:effectExtent l="0" t="0" r="9525" b="952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624"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Pr>
          <w:rFonts w:ascii="Arial" w:hAnsi="Arial" w:cs="Arial"/>
          <w:sz w:val="20"/>
          <w:szCs w:val="20"/>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lastRenderedPageBreak/>
        <w:drawing>
          <wp:inline distT="0" distB="0" distL="0" distR="0">
            <wp:extent cx="419100" cy="257175"/>
            <wp:effectExtent l="0" t="0" r="0" b="952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rFonts w:ascii="Arial" w:hAnsi="Arial" w:cs="Arial"/>
          <w:sz w:val="20"/>
          <w:szCs w:val="20"/>
        </w:rPr>
        <w:t xml:space="preserve"> - сбытовая надбавка гарантирующего поставщика, учитываемая в стоимости электрической энергии в ставке </w:t>
      </w:r>
      <w:r>
        <w:rPr>
          <w:rFonts w:ascii="Arial" w:hAnsi="Arial" w:cs="Arial"/>
          <w:noProof/>
          <w:position w:val="-10"/>
          <w:sz w:val="20"/>
          <w:szCs w:val="20"/>
          <w:lang w:eastAsia="ru-RU"/>
        </w:rPr>
        <w:drawing>
          <wp:inline distT="0" distB="0" distL="0" distR="0">
            <wp:extent cx="666750" cy="257175"/>
            <wp:effectExtent l="0" t="0" r="0" b="952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623" cstate="print">
                      <a:extLst>
                        <a:ext uri="{28A0092B-C50C-407E-A947-70E740481C1C}">
                          <a14:useLocalDpi xmlns:a14="http://schemas.microsoft.com/office/drawing/2010/main" val="0"/>
                        </a:ext>
                      </a:extLst>
                    </a:blip>
                    <a:srcRect/>
                    <a:stretch>
                      <a:fillRect/>
                    </a:stretch>
                  </pic:blipFill>
                  <pic:spPr bwMode="auto">
                    <a:xfrm>
                      <a:off x="0" y="0"/>
                      <a:ext cx="666750" cy="257175"/>
                    </a:xfrm>
                    <a:prstGeom prst="rect">
                      <a:avLst/>
                    </a:prstGeom>
                    <a:noFill/>
                    <a:ln>
                      <a:noFill/>
                    </a:ln>
                  </pic:spPr>
                </pic:pic>
              </a:graphicData>
            </a:graphic>
          </wp:inline>
        </w:drawing>
      </w:r>
      <w:r>
        <w:rPr>
          <w:rFonts w:ascii="Arial" w:hAnsi="Arial" w:cs="Arial"/>
          <w:sz w:val="20"/>
          <w:szCs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1626" w:history="1">
        <w:r>
          <w:rPr>
            <w:rFonts w:ascii="Arial" w:hAnsi="Arial" w:cs="Arial"/>
            <w:color w:val="0000FF"/>
            <w:sz w:val="20"/>
            <w:szCs w:val="20"/>
          </w:rPr>
          <w:t>Основами</w:t>
        </w:r>
      </w:hyperlink>
      <w:r>
        <w:rPr>
          <w:rFonts w:ascii="Arial" w:hAnsi="Arial" w:cs="Arial"/>
          <w:sz w:val="20"/>
          <w:szCs w:val="20"/>
        </w:rPr>
        <w:t xml:space="preserve"> ценообразования в области регулируемых цен (тарифов) в электроэнергетике,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666750" cy="257175"/>
            <wp:effectExtent l="0" t="0" r="0" b="952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627" cstate="print">
                      <a:extLst>
                        <a:ext uri="{28A0092B-C50C-407E-A947-70E740481C1C}">
                          <a14:useLocalDpi xmlns:a14="http://schemas.microsoft.com/office/drawing/2010/main" val="0"/>
                        </a:ext>
                      </a:extLst>
                    </a:blip>
                    <a:srcRect/>
                    <a:stretch>
                      <a:fillRect/>
                    </a:stretch>
                  </pic:blipFill>
                  <pic:spPr bwMode="auto">
                    <a:xfrm>
                      <a:off x="0" y="0"/>
                      <a:ext cx="666750" cy="257175"/>
                    </a:xfrm>
                    <a:prstGeom prst="rect">
                      <a:avLst/>
                    </a:prstGeom>
                    <a:noFill/>
                    <a:ln>
                      <a:noFill/>
                    </a:ln>
                  </pic:spPr>
                </pic:pic>
              </a:graphicData>
            </a:graphic>
          </wp:inline>
        </w:drawing>
      </w:r>
      <w:r>
        <w:rPr>
          <w:rFonts w:ascii="Arial" w:hAnsi="Arial" w:cs="Arial"/>
          <w:sz w:val="20"/>
          <w:szCs w:val="20"/>
        </w:rP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rFonts w:ascii="Arial" w:hAnsi="Arial" w:cs="Arial"/>
          <w:noProof/>
          <w:position w:val="-9"/>
          <w:sz w:val="20"/>
          <w:szCs w:val="20"/>
          <w:lang w:eastAsia="ru-RU"/>
        </w:rPr>
        <w:drawing>
          <wp:inline distT="0" distB="0" distL="0" distR="0">
            <wp:extent cx="923925" cy="238125"/>
            <wp:effectExtent l="0" t="0" r="9525" b="952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628"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r>
        <w:rPr>
          <w:rFonts w:ascii="Arial" w:hAnsi="Arial" w:cs="Arial"/>
          <w:sz w:val="20"/>
          <w:szCs w:val="20"/>
        </w:rP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rFonts w:ascii="Arial" w:hAnsi="Arial" w:cs="Arial"/>
          <w:noProof/>
          <w:position w:val="-9"/>
          <w:sz w:val="20"/>
          <w:szCs w:val="20"/>
          <w:lang w:eastAsia="ru-RU"/>
        </w:rPr>
        <w:drawing>
          <wp:inline distT="0" distB="0" distL="0" distR="0">
            <wp:extent cx="923925" cy="238125"/>
            <wp:effectExtent l="0" t="0" r="9525" b="952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629"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r>
        <w:rPr>
          <w:rFonts w:ascii="Arial" w:hAnsi="Arial" w:cs="Arial"/>
          <w:sz w:val="20"/>
          <w:szCs w:val="20"/>
        </w:rP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695325" cy="238125"/>
            <wp:effectExtent l="0" t="0" r="9525" b="952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Pr>
          <w:rFonts w:ascii="Arial" w:hAnsi="Arial" w:cs="Arial"/>
          <w:sz w:val="20"/>
          <w:szCs w:val="20"/>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определенная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419100" cy="257175"/>
            <wp:effectExtent l="0" t="0" r="0" b="952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631"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rFonts w:ascii="Arial" w:hAnsi="Arial" w:cs="Arial"/>
          <w:sz w:val="20"/>
          <w:szCs w:val="20"/>
        </w:rPr>
        <w:t xml:space="preserve"> - сбытовая надбавка гарантирующего поставщика, учитываемая в стоимости электрической энергии в ставке </w:t>
      </w:r>
      <w:r>
        <w:rPr>
          <w:rFonts w:ascii="Arial" w:hAnsi="Arial" w:cs="Arial"/>
          <w:noProof/>
          <w:position w:val="-10"/>
          <w:sz w:val="20"/>
          <w:szCs w:val="20"/>
          <w:lang w:eastAsia="ru-RU"/>
        </w:rPr>
        <w:drawing>
          <wp:inline distT="0" distB="0" distL="0" distR="0">
            <wp:extent cx="666750" cy="257175"/>
            <wp:effectExtent l="0" t="0" r="0" b="952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627" cstate="print">
                      <a:extLst>
                        <a:ext uri="{28A0092B-C50C-407E-A947-70E740481C1C}">
                          <a14:useLocalDpi xmlns:a14="http://schemas.microsoft.com/office/drawing/2010/main" val="0"/>
                        </a:ext>
                      </a:extLst>
                    </a:blip>
                    <a:srcRect/>
                    <a:stretch>
                      <a:fillRect/>
                    </a:stretch>
                  </pic:blipFill>
                  <pic:spPr bwMode="auto">
                    <a:xfrm>
                      <a:off x="0" y="0"/>
                      <a:ext cx="666750" cy="257175"/>
                    </a:xfrm>
                    <a:prstGeom prst="rect">
                      <a:avLst/>
                    </a:prstGeom>
                    <a:noFill/>
                    <a:ln>
                      <a:noFill/>
                    </a:ln>
                  </pic:spPr>
                </pic:pic>
              </a:graphicData>
            </a:graphic>
          </wp:inline>
        </w:drawing>
      </w:r>
      <w:r>
        <w:rPr>
          <w:rFonts w:ascii="Arial" w:hAnsi="Arial" w:cs="Arial"/>
          <w:sz w:val="20"/>
          <w:szCs w:val="20"/>
        </w:rP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1632" w:history="1">
        <w:r>
          <w:rPr>
            <w:rFonts w:ascii="Arial" w:hAnsi="Arial" w:cs="Arial"/>
            <w:color w:val="0000FF"/>
            <w:sz w:val="20"/>
            <w:szCs w:val="20"/>
          </w:rPr>
          <w:t>Основами</w:t>
        </w:r>
      </w:hyperlink>
      <w:r>
        <w:rPr>
          <w:rFonts w:ascii="Arial" w:hAnsi="Arial" w:cs="Arial"/>
          <w:sz w:val="20"/>
          <w:szCs w:val="20"/>
        </w:rPr>
        <w:t xml:space="preserve"> ценообразования в области регулируемых цен (тарифов) в электроэнергетике,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685800" cy="238125"/>
            <wp:effectExtent l="0" t="0" r="0"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Pr>
          <w:rFonts w:ascii="Arial" w:hAnsi="Arial" w:cs="Arial"/>
          <w:sz w:val="20"/>
          <w:szCs w:val="20"/>
        </w:rP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rFonts w:ascii="Arial" w:hAnsi="Arial" w:cs="Arial"/>
          <w:noProof/>
          <w:position w:val="-9"/>
          <w:sz w:val="20"/>
          <w:szCs w:val="20"/>
          <w:lang w:eastAsia="ru-RU"/>
        </w:rPr>
        <w:drawing>
          <wp:inline distT="0" distB="0" distL="0" distR="0">
            <wp:extent cx="876300" cy="238125"/>
            <wp:effectExtent l="0" t="0" r="0" b="952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876300" cy="238125"/>
                    </a:xfrm>
                    <a:prstGeom prst="rect">
                      <a:avLst/>
                    </a:prstGeom>
                    <a:noFill/>
                    <a:ln>
                      <a:noFill/>
                    </a:ln>
                  </pic:spPr>
                </pic:pic>
              </a:graphicData>
            </a:graphic>
          </wp:inline>
        </w:drawing>
      </w:r>
      <w:r>
        <w:rPr>
          <w:rFonts w:ascii="Arial" w:hAnsi="Arial" w:cs="Arial"/>
          <w:sz w:val="20"/>
          <w:szCs w:val="20"/>
        </w:rP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rFonts w:ascii="Arial" w:hAnsi="Arial" w:cs="Arial"/>
          <w:noProof/>
          <w:position w:val="-9"/>
          <w:sz w:val="20"/>
          <w:szCs w:val="20"/>
          <w:lang w:eastAsia="ru-RU"/>
        </w:rPr>
        <w:drawing>
          <wp:inline distT="0" distB="0" distL="0" distR="0">
            <wp:extent cx="876300" cy="238125"/>
            <wp:effectExtent l="0" t="0" r="0" b="952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876300" cy="238125"/>
                    </a:xfrm>
                    <a:prstGeom prst="rect">
                      <a:avLst/>
                    </a:prstGeom>
                    <a:noFill/>
                    <a:ln>
                      <a:noFill/>
                    </a:ln>
                  </pic:spPr>
                </pic:pic>
              </a:graphicData>
            </a:graphic>
          </wp:inline>
        </w:drawing>
      </w:r>
      <w:r>
        <w:rPr>
          <w:rFonts w:ascii="Arial" w:hAnsi="Arial" w:cs="Arial"/>
          <w:sz w:val="20"/>
          <w:szCs w:val="20"/>
        </w:rP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657225" cy="238125"/>
            <wp:effectExtent l="0" t="0" r="9525" b="952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Pr>
          <w:rFonts w:ascii="Arial" w:hAnsi="Arial" w:cs="Arial"/>
          <w:sz w:val="20"/>
          <w:szCs w:val="20"/>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419100" cy="257175"/>
            <wp:effectExtent l="0" t="0" r="0" b="952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rFonts w:ascii="Arial" w:hAnsi="Arial" w:cs="Arial"/>
          <w:sz w:val="20"/>
          <w:szCs w:val="20"/>
        </w:rPr>
        <w:t xml:space="preserve"> - сбытовая надбавка гарантирующего поставщика, учитываемая в стоимости электрической энергии в ставке </w:t>
      </w:r>
      <w:r>
        <w:rPr>
          <w:rFonts w:ascii="Arial" w:hAnsi="Arial" w:cs="Arial"/>
          <w:noProof/>
          <w:position w:val="-9"/>
          <w:sz w:val="20"/>
          <w:szCs w:val="20"/>
          <w:lang w:eastAsia="ru-RU"/>
        </w:rPr>
        <w:drawing>
          <wp:inline distT="0" distB="0" distL="0" distR="0">
            <wp:extent cx="685800" cy="238125"/>
            <wp:effectExtent l="0" t="0" r="0" b="952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Pr>
          <w:rFonts w:ascii="Arial" w:hAnsi="Arial" w:cs="Arial"/>
          <w:sz w:val="20"/>
          <w:szCs w:val="20"/>
        </w:rP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1639" w:history="1">
        <w:r>
          <w:rPr>
            <w:rFonts w:ascii="Arial" w:hAnsi="Arial" w:cs="Arial"/>
            <w:color w:val="0000FF"/>
            <w:sz w:val="20"/>
            <w:szCs w:val="20"/>
          </w:rPr>
          <w:t>Основами</w:t>
        </w:r>
      </w:hyperlink>
      <w:r>
        <w:rPr>
          <w:rFonts w:ascii="Arial" w:hAnsi="Arial" w:cs="Arial"/>
          <w:sz w:val="20"/>
          <w:szCs w:val="20"/>
        </w:rPr>
        <w:t xml:space="preserve"> ценообразования в области регулируемых цен (тарифов) в электроэнергетике,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7"/>
          <w:sz w:val="20"/>
          <w:szCs w:val="20"/>
          <w:lang w:eastAsia="ru-RU"/>
        </w:rPr>
        <w:drawing>
          <wp:inline distT="0" distB="0" distL="0" distR="0">
            <wp:extent cx="571500" cy="219075"/>
            <wp:effectExtent l="0" t="0" r="0" b="952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Pr>
          <w:rFonts w:ascii="Arial" w:hAnsi="Arial" w:cs="Arial"/>
          <w:sz w:val="20"/>
          <w:szCs w:val="20"/>
        </w:rPr>
        <w:t xml:space="preserve"> - ставка за мощность, приобретаемую потребителем (покупателем), предельного уровня нерегулируемых цен для пятой ценовой категории, определяемая гарантирующим поставщиком в </w:t>
      </w:r>
      <w:r>
        <w:rPr>
          <w:rFonts w:ascii="Arial" w:hAnsi="Arial" w:cs="Arial"/>
          <w:sz w:val="20"/>
          <w:szCs w:val="20"/>
        </w:rPr>
        <w:lastRenderedPageBreak/>
        <w:t>отношении поставляемого потребителю (покупателю), принадлежащему к n-й группе (подгруппе) потребителей, объема мощности по нерегулируемой цене за расчетный период (m), рублей/МВт;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6"/>
          <w:sz w:val="20"/>
          <w:szCs w:val="20"/>
          <w:lang w:eastAsia="ru-RU"/>
        </w:rPr>
        <w:drawing>
          <wp:inline distT="0" distB="0" distL="0" distR="0">
            <wp:extent cx="419100" cy="20955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641"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Pr>
          <w:rFonts w:ascii="Arial" w:hAnsi="Arial" w:cs="Arial"/>
          <w:sz w:val="20"/>
          <w:szCs w:val="20"/>
        </w:rP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7"/>
          <w:sz w:val="20"/>
          <w:szCs w:val="20"/>
          <w:lang w:eastAsia="ru-RU"/>
        </w:rPr>
        <w:drawing>
          <wp:inline distT="0" distB="0" distL="0" distR="0">
            <wp:extent cx="342900" cy="219075"/>
            <wp:effectExtent l="0" t="0" r="0" b="952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Pr>
          <w:rFonts w:ascii="Arial" w:hAnsi="Arial" w:cs="Arial"/>
          <w:sz w:val="20"/>
          <w:szCs w:val="20"/>
        </w:rP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1643" w:history="1">
        <w:r>
          <w:rPr>
            <w:rFonts w:ascii="Arial" w:hAnsi="Arial" w:cs="Arial"/>
            <w:color w:val="0000FF"/>
            <w:sz w:val="20"/>
            <w:szCs w:val="20"/>
          </w:rPr>
          <w:t>Основами</w:t>
        </w:r>
      </w:hyperlink>
      <w:r>
        <w:rPr>
          <w:rFonts w:ascii="Arial" w:hAnsi="Arial" w:cs="Arial"/>
          <w:sz w:val="20"/>
          <w:szCs w:val="20"/>
        </w:rPr>
        <w:t xml:space="preserve"> ценообразования в области регулируемых цен (тарифов) в электроэнергетике, рублей/МВт.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9. Предельный уровень нерегулируемых цен для шестой ценовой категории состоит из ставок за электрическую энергию и ставок за мощность и определяется гарантирующим поставщиком по формулам:</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7"/>
          <w:sz w:val="20"/>
          <w:szCs w:val="20"/>
          <w:lang w:eastAsia="ru-RU"/>
        </w:rPr>
        <w:drawing>
          <wp:inline distT="0" distB="0" distL="0" distR="0">
            <wp:extent cx="2238375" cy="219075"/>
            <wp:effectExtent l="0" t="0" r="9525" b="952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2238375" cy="219075"/>
                    </a:xfrm>
                    <a:prstGeom prst="rect">
                      <a:avLst/>
                    </a:prstGeom>
                    <a:noFill/>
                    <a:ln>
                      <a:noFill/>
                    </a:ln>
                  </pic:spPr>
                </pic:pic>
              </a:graphicData>
            </a:graphic>
          </wp:inline>
        </w:drawing>
      </w:r>
      <w:r>
        <w:rPr>
          <w:rFonts w:ascii="Arial" w:hAnsi="Arial" w:cs="Arial"/>
          <w:sz w:val="20"/>
          <w:szCs w:val="20"/>
        </w:rPr>
        <w:t>, (21)</w:t>
      </w:r>
    </w:p>
    <w:p w:rsidR="009F5AFE" w:rsidRDefault="009F5AFE" w:rsidP="009F5AFE">
      <w:pPr>
        <w:autoSpaceDE w:val="0"/>
        <w:autoSpaceDN w:val="0"/>
        <w:adjustRightInd w:val="0"/>
        <w:spacing w:after="0" w:line="240" w:lineRule="auto"/>
        <w:jc w:val="center"/>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7"/>
          <w:sz w:val="20"/>
          <w:szCs w:val="20"/>
          <w:lang w:eastAsia="ru-RU"/>
        </w:rPr>
        <w:drawing>
          <wp:inline distT="0" distB="0" distL="0" distR="0">
            <wp:extent cx="1476375" cy="219075"/>
            <wp:effectExtent l="0" t="0" r="9525" b="952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645" cstate="print">
                      <a:extLst>
                        <a:ext uri="{28A0092B-C50C-407E-A947-70E740481C1C}">
                          <a14:useLocalDpi xmlns:a14="http://schemas.microsoft.com/office/drawing/2010/main" val="0"/>
                        </a:ext>
                      </a:extLst>
                    </a:blip>
                    <a:srcRect/>
                    <a:stretch>
                      <a:fillRect/>
                    </a:stretch>
                  </pic:blipFill>
                  <pic:spPr bwMode="auto">
                    <a:xfrm>
                      <a:off x="0" y="0"/>
                      <a:ext cx="1476375" cy="219075"/>
                    </a:xfrm>
                    <a:prstGeom prst="rect">
                      <a:avLst/>
                    </a:prstGeom>
                    <a:noFill/>
                    <a:ln>
                      <a:noFill/>
                    </a:ln>
                  </pic:spPr>
                </pic:pic>
              </a:graphicData>
            </a:graphic>
          </wp:inline>
        </w:drawing>
      </w:r>
      <w:r>
        <w:rPr>
          <w:rFonts w:ascii="Arial" w:hAnsi="Arial" w:cs="Arial"/>
          <w:sz w:val="20"/>
          <w:szCs w:val="20"/>
        </w:rPr>
        <w:t>, (22)</w:t>
      </w:r>
    </w:p>
    <w:p w:rsidR="009F5AFE" w:rsidRDefault="009F5AFE" w:rsidP="009F5AFE">
      <w:pPr>
        <w:autoSpaceDE w:val="0"/>
        <w:autoSpaceDN w:val="0"/>
        <w:adjustRightInd w:val="0"/>
        <w:spacing w:after="0" w:line="240" w:lineRule="auto"/>
        <w:jc w:val="center"/>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7"/>
          <w:sz w:val="20"/>
          <w:szCs w:val="20"/>
          <w:lang w:eastAsia="ru-RU"/>
        </w:rPr>
        <w:drawing>
          <wp:inline distT="0" distB="0" distL="0" distR="0">
            <wp:extent cx="1447800" cy="219075"/>
            <wp:effectExtent l="0" t="0" r="0" b="952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646" cstate="print">
                      <a:extLst>
                        <a:ext uri="{28A0092B-C50C-407E-A947-70E740481C1C}">
                          <a14:useLocalDpi xmlns:a14="http://schemas.microsoft.com/office/drawing/2010/main" val="0"/>
                        </a:ext>
                      </a:extLst>
                    </a:blip>
                    <a:srcRect/>
                    <a:stretch>
                      <a:fillRect/>
                    </a:stretch>
                  </pic:blipFill>
                  <pic:spPr bwMode="auto">
                    <a:xfrm>
                      <a:off x="0" y="0"/>
                      <a:ext cx="1447800" cy="219075"/>
                    </a:xfrm>
                    <a:prstGeom prst="rect">
                      <a:avLst/>
                    </a:prstGeom>
                    <a:noFill/>
                    <a:ln>
                      <a:noFill/>
                    </a:ln>
                  </pic:spPr>
                </pic:pic>
              </a:graphicData>
            </a:graphic>
          </wp:inline>
        </w:drawing>
      </w:r>
      <w:r>
        <w:rPr>
          <w:rFonts w:ascii="Arial" w:hAnsi="Arial" w:cs="Arial"/>
          <w:sz w:val="20"/>
          <w:szCs w:val="20"/>
        </w:rPr>
        <w:t>, (23)</w:t>
      </w:r>
    </w:p>
    <w:p w:rsidR="009F5AFE" w:rsidRDefault="009F5AFE" w:rsidP="009F5AFE">
      <w:pPr>
        <w:autoSpaceDE w:val="0"/>
        <w:autoSpaceDN w:val="0"/>
        <w:adjustRightInd w:val="0"/>
        <w:spacing w:after="0" w:line="240" w:lineRule="auto"/>
        <w:jc w:val="center"/>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1771650" cy="238125"/>
            <wp:effectExtent l="0" t="0" r="0" b="952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1771650" cy="238125"/>
                    </a:xfrm>
                    <a:prstGeom prst="rect">
                      <a:avLst/>
                    </a:prstGeom>
                    <a:noFill/>
                    <a:ln>
                      <a:noFill/>
                    </a:ln>
                  </pic:spPr>
                </pic:pic>
              </a:graphicData>
            </a:graphic>
          </wp:inline>
        </w:drawing>
      </w:r>
      <w:r>
        <w:rPr>
          <w:rFonts w:ascii="Arial" w:hAnsi="Arial" w:cs="Arial"/>
          <w:sz w:val="20"/>
          <w:szCs w:val="20"/>
        </w:rPr>
        <w:t>, (24)</w:t>
      </w:r>
    </w:p>
    <w:p w:rsidR="009F5AFE" w:rsidRDefault="009F5AFE" w:rsidP="009F5AFE">
      <w:pPr>
        <w:autoSpaceDE w:val="0"/>
        <w:autoSpaceDN w:val="0"/>
        <w:adjustRightInd w:val="0"/>
        <w:spacing w:after="0" w:line="240" w:lineRule="auto"/>
        <w:jc w:val="center"/>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1704975" cy="238125"/>
            <wp:effectExtent l="0" t="0" r="9525" b="952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648" cstate="print">
                      <a:extLst>
                        <a:ext uri="{28A0092B-C50C-407E-A947-70E740481C1C}">
                          <a14:useLocalDpi xmlns:a14="http://schemas.microsoft.com/office/drawing/2010/main" val="0"/>
                        </a:ext>
                      </a:extLst>
                    </a:blip>
                    <a:srcRect/>
                    <a:stretch>
                      <a:fillRect/>
                    </a:stretch>
                  </pic:blipFill>
                  <pic:spPr bwMode="auto">
                    <a:xfrm>
                      <a:off x="0" y="0"/>
                      <a:ext cx="1704975" cy="238125"/>
                    </a:xfrm>
                    <a:prstGeom prst="rect">
                      <a:avLst/>
                    </a:prstGeom>
                    <a:noFill/>
                    <a:ln>
                      <a:noFill/>
                    </a:ln>
                  </pic:spPr>
                </pic:pic>
              </a:graphicData>
            </a:graphic>
          </wp:inline>
        </w:drawing>
      </w:r>
      <w:r>
        <w:rPr>
          <w:rFonts w:ascii="Arial" w:hAnsi="Arial" w:cs="Arial"/>
          <w:sz w:val="20"/>
          <w:szCs w:val="20"/>
        </w:rPr>
        <w:t>, (25)</w:t>
      </w:r>
    </w:p>
    <w:p w:rsidR="009F5AFE" w:rsidRDefault="009F5AFE" w:rsidP="009F5AFE">
      <w:pPr>
        <w:autoSpaceDE w:val="0"/>
        <w:autoSpaceDN w:val="0"/>
        <w:adjustRightInd w:val="0"/>
        <w:spacing w:after="0" w:line="240" w:lineRule="auto"/>
        <w:jc w:val="center"/>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7"/>
          <w:sz w:val="20"/>
          <w:szCs w:val="20"/>
          <w:lang w:eastAsia="ru-RU"/>
        </w:rPr>
        <w:drawing>
          <wp:inline distT="0" distB="0" distL="0" distR="0">
            <wp:extent cx="1400175" cy="219075"/>
            <wp:effectExtent l="0" t="0" r="9525" b="952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1400175" cy="219075"/>
                    </a:xfrm>
                    <a:prstGeom prst="rect">
                      <a:avLst/>
                    </a:prstGeom>
                    <a:noFill/>
                    <a:ln>
                      <a:noFill/>
                    </a:ln>
                  </pic:spPr>
                </pic:pic>
              </a:graphicData>
            </a:graphic>
          </wp:inline>
        </w:drawing>
      </w:r>
      <w:r>
        <w:rPr>
          <w:rFonts w:ascii="Arial" w:hAnsi="Arial" w:cs="Arial"/>
          <w:sz w:val="20"/>
          <w:szCs w:val="20"/>
        </w:rPr>
        <w:t>, (26)</w:t>
      </w:r>
    </w:p>
    <w:p w:rsidR="009F5AFE" w:rsidRDefault="009F5AFE" w:rsidP="009F5AFE">
      <w:pPr>
        <w:autoSpaceDE w:val="0"/>
        <w:autoSpaceDN w:val="0"/>
        <w:adjustRightInd w:val="0"/>
        <w:spacing w:after="0" w:line="240" w:lineRule="auto"/>
        <w:jc w:val="center"/>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7"/>
          <w:sz w:val="20"/>
          <w:szCs w:val="20"/>
          <w:lang w:eastAsia="ru-RU"/>
        </w:rPr>
        <w:drawing>
          <wp:inline distT="0" distB="0" distL="0" distR="0">
            <wp:extent cx="923925" cy="219075"/>
            <wp:effectExtent l="0" t="0" r="9525"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923925" cy="219075"/>
                    </a:xfrm>
                    <a:prstGeom prst="rect">
                      <a:avLst/>
                    </a:prstGeom>
                    <a:noFill/>
                    <a:ln>
                      <a:noFill/>
                    </a:ln>
                  </pic:spPr>
                </pic:pic>
              </a:graphicData>
            </a:graphic>
          </wp:inline>
        </w:drawing>
      </w:r>
      <w:r>
        <w:rPr>
          <w:rFonts w:ascii="Arial" w:hAnsi="Arial" w:cs="Arial"/>
          <w:sz w:val="20"/>
          <w:szCs w:val="20"/>
        </w:rPr>
        <w:t>, (27)</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7"/>
          <w:sz w:val="20"/>
          <w:szCs w:val="20"/>
          <w:lang w:eastAsia="ru-RU"/>
        </w:rPr>
        <w:drawing>
          <wp:inline distT="0" distB="0" distL="0" distR="0">
            <wp:extent cx="600075" cy="219075"/>
            <wp:effectExtent l="0" t="0" r="9525" b="952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651" cstate="print">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7"/>
          <w:sz w:val="20"/>
          <w:szCs w:val="20"/>
          <w:lang w:eastAsia="ru-RU"/>
        </w:rPr>
        <w:drawing>
          <wp:inline distT="0" distB="0" distL="0" distR="0">
            <wp:extent cx="600075" cy="219075"/>
            <wp:effectExtent l="0" t="0" r="9525" b="952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652" cstate="print">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7"/>
          <w:sz w:val="20"/>
          <w:szCs w:val="20"/>
          <w:lang w:eastAsia="ru-RU"/>
        </w:rPr>
        <w:drawing>
          <wp:inline distT="0" distB="0" distL="0" distR="0">
            <wp:extent cx="600075" cy="219075"/>
            <wp:effectExtent l="0" t="0" r="9525" b="952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7"/>
          <w:sz w:val="20"/>
          <w:szCs w:val="20"/>
          <w:lang w:eastAsia="ru-RU"/>
        </w:rPr>
        <w:drawing>
          <wp:inline distT="0" distB="0" distL="0" distR="0">
            <wp:extent cx="600075" cy="219075"/>
            <wp:effectExtent l="0" t="0" r="9525" b="952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654" cstate="print">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7"/>
          <w:sz w:val="20"/>
          <w:szCs w:val="20"/>
          <w:lang w:eastAsia="ru-RU"/>
        </w:rPr>
        <w:drawing>
          <wp:inline distT="0" distB="0" distL="0" distR="0">
            <wp:extent cx="600075" cy="219075"/>
            <wp:effectExtent l="0" t="0" r="9525" b="952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Pr>
          <w:rFonts w:ascii="Arial" w:hAnsi="Arial" w:cs="Arial"/>
          <w:sz w:val="20"/>
          <w:szCs w:val="20"/>
        </w:rPr>
        <w:t xml:space="preserve"> - ставки за электрическую энергию предельного уровня нерегулируемых цен для шестой ценовой категории;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7"/>
          <w:sz w:val="20"/>
          <w:szCs w:val="20"/>
          <w:lang w:eastAsia="ru-RU"/>
        </w:rPr>
        <w:drawing>
          <wp:inline distT="0" distB="0" distL="0" distR="0">
            <wp:extent cx="600075" cy="219075"/>
            <wp:effectExtent l="0" t="0" r="9525" b="952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651" cstate="print">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Pr>
          <w:rFonts w:ascii="Arial" w:hAnsi="Arial" w:cs="Arial"/>
          <w:sz w:val="20"/>
          <w:szCs w:val="20"/>
        </w:rPr>
        <w:t xml:space="preserve"> - ставка за электрическую энергию предельного уровня нерегулируемых цен, определяемая гарантирующим поставщиком для потребителей (покупателей), рассчитывающихся по шестой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по нерегулируемой цене на j-м уровне напряжения в час (h) расчетного периода (m),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7"/>
          <w:sz w:val="20"/>
          <w:szCs w:val="20"/>
          <w:lang w:eastAsia="ru-RU"/>
        </w:rPr>
        <w:drawing>
          <wp:inline distT="0" distB="0" distL="0" distR="0">
            <wp:extent cx="571500" cy="219075"/>
            <wp:effectExtent l="0" t="0" r="0" b="952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Pr>
          <w:rFonts w:ascii="Arial" w:hAnsi="Arial" w:cs="Arial"/>
          <w:sz w:val="20"/>
          <w:szCs w:val="20"/>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поставляемого в час (h) расчетного периода (m) объема электрической энергии,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7"/>
          <w:sz w:val="20"/>
          <w:szCs w:val="20"/>
          <w:lang w:eastAsia="ru-RU"/>
        </w:rPr>
        <w:drawing>
          <wp:inline distT="0" distB="0" distL="0" distR="0">
            <wp:extent cx="352425" cy="219075"/>
            <wp:effectExtent l="0" t="0" r="9525" b="952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Pr>
          <w:rFonts w:ascii="Arial" w:hAnsi="Arial" w:cs="Arial"/>
          <w:sz w:val="20"/>
          <w:szCs w:val="20"/>
        </w:rPr>
        <w:t xml:space="preserve"> - дифференцированная по уровням напряжения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6"/>
          <w:sz w:val="20"/>
          <w:szCs w:val="20"/>
          <w:lang w:eastAsia="ru-RU"/>
        </w:rPr>
        <w:lastRenderedPageBreak/>
        <w:drawing>
          <wp:inline distT="0" distB="0" distL="0" distR="0">
            <wp:extent cx="276225" cy="209550"/>
            <wp:effectExtent l="0" t="0" r="952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658" cstate="print">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Pr>
          <w:rFonts w:ascii="Arial" w:hAnsi="Arial" w:cs="Arial"/>
          <w:sz w:val="20"/>
          <w:szCs w:val="20"/>
        </w:rP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7"/>
          <w:sz w:val="20"/>
          <w:szCs w:val="20"/>
          <w:lang w:eastAsia="ru-RU"/>
        </w:rPr>
        <w:drawing>
          <wp:inline distT="0" distB="0" distL="0" distR="0">
            <wp:extent cx="371475" cy="219075"/>
            <wp:effectExtent l="0" t="0" r="9525"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659" cstate="print">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rPr>
          <w:rFonts w:ascii="Arial" w:hAnsi="Arial" w:cs="Arial"/>
          <w:sz w:val="20"/>
          <w:szCs w:val="20"/>
        </w:rPr>
        <w:t xml:space="preserve"> - сбытовая надбавка гарантирующего поставщика, учитываемая в стоимости электрической энергии в ставке </w:t>
      </w:r>
      <w:r>
        <w:rPr>
          <w:rFonts w:ascii="Arial" w:hAnsi="Arial" w:cs="Arial"/>
          <w:noProof/>
          <w:position w:val="-7"/>
          <w:sz w:val="20"/>
          <w:szCs w:val="20"/>
          <w:lang w:eastAsia="ru-RU"/>
        </w:rPr>
        <w:drawing>
          <wp:inline distT="0" distB="0" distL="0" distR="0">
            <wp:extent cx="600075" cy="219075"/>
            <wp:effectExtent l="0" t="0" r="9525" b="952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651" cstate="print">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Pr>
          <w:rFonts w:ascii="Arial" w:hAnsi="Arial" w:cs="Arial"/>
          <w:sz w:val="20"/>
          <w:szCs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1660" w:history="1">
        <w:r>
          <w:rPr>
            <w:rFonts w:ascii="Arial" w:hAnsi="Arial" w:cs="Arial"/>
            <w:color w:val="0000FF"/>
            <w:sz w:val="20"/>
            <w:szCs w:val="20"/>
          </w:rPr>
          <w:t>Основами</w:t>
        </w:r>
      </w:hyperlink>
      <w:r>
        <w:rPr>
          <w:rFonts w:ascii="Arial" w:hAnsi="Arial" w:cs="Arial"/>
          <w:sz w:val="20"/>
          <w:szCs w:val="20"/>
        </w:rPr>
        <w:t xml:space="preserve"> ценообразования в области регулируемых цен (тарифов) в электроэнергетике,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7"/>
          <w:sz w:val="20"/>
          <w:szCs w:val="20"/>
          <w:lang w:eastAsia="ru-RU"/>
        </w:rPr>
        <w:drawing>
          <wp:inline distT="0" distB="0" distL="0" distR="0">
            <wp:extent cx="600075" cy="219075"/>
            <wp:effectExtent l="0" t="0" r="9525" b="952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661" cstate="print">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Pr>
          <w:rFonts w:ascii="Arial" w:hAnsi="Arial" w:cs="Arial"/>
          <w:sz w:val="20"/>
          <w:szCs w:val="20"/>
        </w:rP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7"/>
          <w:sz w:val="20"/>
          <w:szCs w:val="20"/>
          <w:lang w:eastAsia="ru-RU"/>
        </w:rPr>
        <w:drawing>
          <wp:inline distT="0" distB="0" distL="0" distR="0">
            <wp:extent cx="447675" cy="219075"/>
            <wp:effectExtent l="0" t="0" r="9525" b="952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r>
        <w:rPr>
          <w:rFonts w:ascii="Arial" w:hAnsi="Arial" w:cs="Arial"/>
          <w:sz w:val="20"/>
          <w:szCs w:val="20"/>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7"/>
          <w:sz w:val="20"/>
          <w:szCs w:val="20"/>
          <w:lang w:eastAsia="ru-RU"/>
        </w:rPr>
        <w:drawing>
          <wp:inline distT="0" distB="0" distL="0" distR="0">
            <wp:extent cx="371475" cy="219075"/>
            <wp:effectExtent l="0" t="0" r="9525" b="952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663" cstate="print">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rPr>
          <w:rFonts w:ascii="Arial" w:hAnsi="Arial" w:cs="Arial"/>
          <w:sz w:val="20"/>
          <w:szCs w:val="20"/>
        </w:rPr>
        <w:t xml:space="preserve"> - сбытовая надбавка гарантирующего поставщика, учитываемая в стоимости электрической энергии в ставке </w:t>
      </w:r>
      <w:r>
        <w:rPr>
          <w:rFonts w:ascii="Arial" w:hAnsi="Arial" w:cs="Arial"/>
          <w:noProof/>
          <w:position w:val="-7"/>
          <w:sz w:val="20"/>
          <w:szCs w:val="20"/>
          <w:lang w:eastAsia="ru-RU"/>
        </w:rPr>
        <w:drawing>
          <wp:inline distT="0" distB="0" distL="0" distR="0">
            <wp:extent cx="600075" cy="219075"/>
            <wp:effectExtent l="0" t="0" r="9525" b="952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661" cstate="print">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Pr>
          <w:rFonts w:ascii="Arial" w:hAnsi="Arial" w:cs="Arial"/>
          <w:sz w:val="20"/>
          <w:szCs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1664" w:history="1">
        <w:r>
          <w:rPr>
            <w:rFonts w:ascii="Arial" w:hAnsi="Arial" w:cs="Arial"/>
            <w:color w:val="0000FF"/>
            <w:sz w:val="20"/>
            <w:szCs w:val="20"/>
          </w:rPr>
          <w:t>Основами</w:t>
        </w:r>
      </w:hyperlink>
      <w:r>
        <w:rPr>
          <w:rFonts w:ascii="Arial" w:hAnsi="Arial" w:cs="Arial"/>
          <w:sz w:val="20"/>
          <w:szCs w:val="20"/>
        </w:rPr>
        <w:t xml:space="preserve"> ценообразования в области регулируемых цен (тарифов) в электроэнергетике,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7"/>
          <w:sz w:val="20"/>
          <w:szCs w:val="20"/>
          <w:lang w:eastAsia="ru-RU"/>
        </w:rPr>
        <w:drawing>
          <wp:inline distT="0" distB="0" distL="0" distR="0">
            <wp:extent cx="600075" cy="219075"/>
            <wp:effectExtent l="0" t="0" r="9525" b="952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Pr>
          <w:rFonts w:ascii="Arial" w:hAnsi="Arial" w:cs="Arial"/>
          <w:sz w:val="20"/>
          <w:szCs w:val="20"/>
        </w:rP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7"/>
          <w:sz w:val="20"/>
          <w:szCs w:val="20"/>
          <w:lang w:eastAsia="ru-RU"/>
        </w:rPr>
        <w:drawing>
          <wp:inline distT="0" distB="0" distL="0" distR="0">
            <wp:extent cx="466725" cy="219075"/>
            <wp:effectExtent l="0" t="0" r="9525" b="952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666" cstate="print">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Pr>
          <w:rFonts w:ascii="Arial" w:hAnsi="Arial" w:cs="Arial"/>
          <w:sz w:val="20"/>
          <w:szCs w:val="20"/>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7"/>
          <w:sz w:val="20"/>
          <w:szCs w:val="20"/>
          <w:lang w:eastAsia="ru-RU"/>
        </w:rPr>
        <w:drawing>
          <wp:inline distT="0" distB="0" distL="0" distR="0">
            <wp:extent cx="371475" cy="219075"/>
            <wp:effectExtent l="0" t="0" r="9525" b="952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rPr>
          <w:rFonts w:ascii="Arial" w:hAnsi="Arial" w:cs="Arial"/>
          <w:sz w:val="20"/>
          <w:szCs w:val="20"/>
        </w:rPr>
        <w:t xml:space="preserve"> - сбытовая надбавка гарантирующего поставщика, учитываемая в стоимости электрической энергии в ставке </w:t>
      </w:r>
      <w:r>
        <w:rPr>
          <w:rFonts w:ascii="Arial" w:hAnsi="Arial" w:cs="Arial"/>
          <w:noProof/>
          <w:position w:val="-7"/>
          <w:sz w:val="20"/>
          <w:szCs w:val="20"/>
          <w:lang w:eastAsia="ru-RU"/>
        </w:rPr>
        <w:drawing>
          <wp:inline distT="0" distB="0" distL="0" distR="0">
            <wp:extent cx="600075" cy="219075"/>
            <wp:effectExtent l="0" t="0" r="9525" b="952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Pr>
          <w:rFonts w:ascii="Arial" w:hAnsi="Arial" w:cs="Arial"/>
          <w:sz w:val="20"/>
          <w:szCs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1668" w:history="1">
        <w:r>
          <w:rPr>
            <w:rFonts w:ascii="Arial" w:hAnsi="Arial" w:cs="Arial"/>
            <w:color w:val="0000FF"/>
            <w:sz w:val="20"/>
            <w:szCs w:val="20"/>
          </w:rPr>
          <w:t>Основами</w:t>
        </w:r>
      </w:hyperlink>
      <w:r>
        <w:rPr>
          <w:rFonts w:ascii="Arial" w:hAnsi="Arial" w:cs="Arial"/>
          <w:sz w:val="20"/>
          <w:szCs w:val="20"/>
        </w:rPr>
        <w:t xml:space="preserve"> ценообразования в области регулируемых цен (тарифов) в электроэнергетике,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7"/>
          <w:sz w:val="20"/>
          <w:szCs w:val="20"/>
          <w:lang w:eastAsia="ru-RU"/>
        </w:rPr>
        <w:drawing>
          <wp:inline distT="0" distB="0" distL="0" distR="0">
            <wp:extent cx="600075" cy="219075"/>
            <wp:effectExtent l="0" t="0" r="9525" b="952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669" cstate="print">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Pr>
          <w:rFonts w:ascii="Arial" w:hAnsi="Arial" w:cs="Arial"/>
          <w:sz w:val="20"/>
          <w:szCs w:val="20"/>
        </w:rP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rFonts w:ascii="Arial" w:hAnsi="Arial" w:cs="Arial"/>
          <w:noProof/>
          <w:position w:val="-6"/>
          <w:sz w:val="20"/>
          <w:szCs w:val="20"/>
          <w:lang w:eastAsia="ru-RU"/>
        </w:rPr>
        <w:drawing>
          <wp:inline distT="0" distB="0" distL="0" distR="0">
            <wp:extent cx="800100" cy="20955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670" cstate="print">
                      <a:extLst>
                        <a:ext uri="{28A0092B-C50C-407E-A947-70E740481C1C}">
                          <a14:useLocalDpi xmlns:a14="http://schemas.microsoft.com/office/drawing/2010/main" val="0"/>
                        </a:ext>
                      </a:extLst>
                    </a:blip>
                    <a:srcRect/>
                    <a:stretch>
                      <a:fillRect/>
                    </a:stretch>
                  </pic:blipFill>
                  <pic:spPr bwMode="auto">
                    <a:xfrm>
                      <a:off x="0" y="0"/>
                      <a:ext cx="800100" cy="209550"/>
                    </a:xfrm>
                    <a:prstGeom prst="rect">
                      <a:avLst/>
                    </a:prstGeom>
                    <a:noFill/>
                    <a:ln>
                      <a:noFill/>
                    </a:ln>
                  </pic:spPr>
                </pic:pic>
              </a:graphicData>
            </a:graphic>
          </wp:inline>
        </w:drawing>
      </w:r>
      <w:r>
        <w:rPr>
          <w:rFonts w:ascii="Arial" w:hAnsi="Arial" w:cs="Arial"/>
          <w:sz w:val="20"/>
          <w:szCs w:val="20"/>
        </w:rP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в расчетном периоде (m). В случае если </w:t>
      </w:r>
      <w:r>
        <w:rPr>
          <w:rFonts w:ascii="Arial" w:hAnsi="Arial" w:cs="Arial"/>
          <w:noProof/>
          <w:position w:val="-6"/>
          <w:sz w:val="20"/>
          <w:szCs w:val="20"/>
          <w:lang w:eastAsia="ru-RU"/>
        </w:rPr>
        <w:drawing>
          <wp:inline distT="0" distB="0" distL="0" distR="0">
            <wp:extent cx="800100" cy="20955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671" cstate="print">
                      <a:extLst>
                        <a:ext uri="{28A0092B-C50C-407E-A947-70E740481C1C}">
                          <a14:useLocalDpi xmlns:a14="http://schemas.microsoft.com/office/drawing/2010/main" val="0"/>
                        </a:ext>
                      </a:extLst>
                    </a:blip>
                    <a:srcRect/>
                    <a:stretch>
                      <a:fillRect/>
                    </a:stretch>
                  </pic:blipFill>
                  <pic:spPr bwMode="auto">
                    <a:xfrm>
                      <a:off x="0" y="0"/>
                      <a:ext cx="800100" cy="209550"/>
                    </a:xfrm>
                    <a:prstGeom prst="rect">
                      <a:avLst/>
                    </a:prstGeom>
                    <a:noFill/>
                    <a:ln>
                      <a:noFill/>
                    </a:ln>
                  </pic:spPr>
                </pic:pic>
              </a:graphicData>
            </a:graphic>
          </wp:inline>
        </w:drawing>
      </w:r>
      <w:r>
        <w:rPr>
          <w:rFonts w:ascii="Arial" w:hAnsi="Arial" w:cs="Arial"/>
          <w:sz w:val="20"/>
          <w:szCs w:val="20"/>
        </w:rPr>
        <w:t xml:space="preserve">, указанная ставка применяется в сторону уменьшения суммарной </w:t>
      </w:r>
      <w:r>
        <w:rPr>
          <w:rFonts w:ascii="Arial" w:hAnsi="Arial" w:cs="Arial"/>
          <w:sz w:val="20"/>
          <w:szCs w:val="20"/>
        </w:rPr>
        <w:lastRenderedPageBreak/>
        <w:t>стоимости электрической энергии (мощности), приобретенной потребителем (покупателем) по нерегулируемым ценам за расчетный период (m);</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6"/>
          <w:sz w:val="20"/>
          <w:szCs w:val="20"/>
          <w:lang w:eastAsia="ru-RU"/>
        </w:rPr>
        <w:drawing>
          <wp:inline distT="0" distB="0" distL="0" distR="0">
            <wp:extent cx="609600" cy="20955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672" cstate="print">
                      <a:extLst>
                        <a:ext uri="{28A0092B-C50C-407E-A947-70E740481C1C}">
                          <a14:useLocalDpi xmlns:a14="http://schemas.microsoft.com/office/drawing/2010/main" val="0"/>
                        </a:ext>
                      </a:extLst>
                    </a:blip>
                    <a:srcRect/>
                    <a:stretch>
                      <a:fillRect/>
                    </a:stretch>
                  </pic:blipFill>
                  <pic:spPr bwMode="auto">
                    <a:xfrm>
                      <a:off x="0" y="0"/>
                      <a:ext cx="609600" cy="209550"/>
                    </a:xfrm>
                    <a:prstGeom prst="rect">
                      <a:avLst/>
                    </a:prstGeom>
                    <a:noFill/>
                    <a:ln>
                      <a:noFill/>
                    </a:ln>
                  </pic:spPr>
                </pic:pic>
              </a:graphicData>
            </a:graphic>
          </wp:inline>
        </w:drawing>
      </w:r>
      <w:r>
        <w:rPr>
          <w:rFonts w:ascii="Arial" w:hAnsi="Arial" w:cs="Arial"/>
          <w:sz w:val="20"/>
          <w:szCs w:val="20"/>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7"/>
          <w:sz w:val="20"/>
          <w:szCs w:val="20"/>
          <w:lang w:eastAsia="ru-RU"/>
        </w:rPr>
        <w:drawing>
          <wp:inline distT="0" distB="0" distL="0" distR="0">
            <wp:extent cx="371475" cy="219075"/>
            <wp:effectExtent l="0" t="0" r="9525"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673" cstate="print">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rPr>
          <w:rFonts w:ascii="Arial" w:hAnsi="Arial" w:cs="Arial"/>
          <w:sz w:val="20"/>
          <w:szCs w:val="20"/>
        </w:rPr>
        <w:t xml:space="preserve"> - сбытовая надбавка гарантирующего поставщика, учитываемая в стоимости электрической энергии в ставке </w:t>
      </w:r>
      <w:r>
        <w:rPr>
          <w:rFonts w:ascii="Arial" w:hAnsi="Arial" w:cs="Arial"/>
          <w:noProof/>
          <w:position w:val="-7"/>
          <w:sz w:val="20"/>
          <w:szCs w:val="20"/>
          <w:lang w:eastAsia="ru-RU"/>
        </w:rPr>
        <w:drawing>
          <wp:inline distT="0" distB="0" distL="0" distR="0">
            <wp:extent cx="600075" cy="219075"/>
            <wp:effectExtent l="0" t="0" r="9525"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669" cstate="print">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Pr>
          <w:rFonts w:ascii="Arial" w:hAnsi="Arial" w:cs="Arial"/>
          <w:sz w:val="20"/>
          <w:szCs w:val="20"/>
        </w:rP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1674" w:history="1">
        <w:r>
          <w:rPr>
            <w:rFonts w:ascii="Arial" w:hAnsi="Arial" w:cs="Arial"/>
            <w:color w:val="0000FF"/>
            <w:sz w:val="20"/>
            <w:szCs w:val="20"/>
          </w:rPr>
          <w:t>Основами</w:t>
        </w:r>
      </w:hyperlink>
      <w:r>
        <w:rPr>
          <w:rFonts w:ascii="Arial" w:hAnsi="Arial" w:cs="Arial"/>
          <w:sz w:val="20"/>
          <w:szCs w:val="20"/>
        </w:rPr>
        <w:t xml:space="preserve"> ценообразования в области регулируемых цен (тарифов) в электроэнергетике,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7"/>
          <w:sz w:val="20"/>
          <w:szCs w:val="20"/>
          <w:lang w:eastAsia="ru-RU"/>
        </w:rPr>
        <w:drawing>
          <wp:inline distT="0" distB="0" distL="0" distR="0">
            <wp:extent cx="600075" cy="219075"/>
            <wp:effectExtent l="0" t="0" r="9525"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675" cstate="print">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Pr>
          <w:rFonts w:ascii="Arial" w:hAnsi="Arial" w:cs="Arial"/>
          <w:sz w:val="20"/>
          <w:szCs w:val="20"/>
        </w:rP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rFonts w:ascii="Arial" w:hAnsi="Arial" w:cs="Arial"/>
          <w:noProof/>
          <w:position w:val="-6"/>
          <w:sz w:val="20"/>
          <w:szCs w:val="20"/>
          <w:lang w:eastAsia="ru-RU"/>
        </w:rPr>
        <w:drawing>
          <wp:inline distT="0" distB="0" distL="0" distR="0">
            <wp:extent cx="752475" cy="209550"/>
            <wp:effectExtent l="0" t="0" r="952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676" cstate="print">
                      <a:extLst>
                        <a:ext uri="{28A0092B-C50C-407E-A947-70E740481C1C}">
                          <a14:useLocalDpi xmlns:a14="http://schemas.microsoft.com/office/drawing/2010/main" val="0"/>
                        </a:ext>
                      </a:extLst>
                    </a:blip>
                    <a:srcRect/>
                    <a:stretch>
                      <a:fillRect/>
                    </a:stretch>
                  </pic:blipFill>
                  <pic:spPr bwMode="auto">
                    <a:xfrm>
                      <a:off x="0" y="0"/>
                      <a:ext cx="752475" cy="209550"/>
                    </a:xfrm>
                    <a:prstGeom prst="rect">
                      <a:avLst/>
                    </a:prstGeom>
                    <a:noFill/>
                    <a:ln>
                      <a:noFill/>
                    </a:ln>
                  </pic:spPr>
                </pic:pic>
              </a:graphicData>
            </a:graphic>
          </wp:inline>
        </w:drawing>
      </w:r>
      <w:r>
        <w:rPr>
          <w:rFonts w:ascii="Arial" w:hAnsi="Arial" w:cs="Arial"/>
          <w:sz w:val="20"/>
          <w:szCs w:val="20"/>
        </w:rP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rFonts w:ascii="Arial" w:hAnsi="Arial" w:cs="Arial"/>
          <w:noProof/>
          <w:position w:val="-6"/>
          <w:sz w:val="20"/>
          <w:szCs w:val="20"/>
          <w:lang w:eastAsia="ru-RU"/>
        </w:rPr>
        <w:drawing>
          <wp:inline distT="0" distB="0" distL="0" distR="0">
            <wp:extent cx="752475" cy="209550"/>
            <wp:effectExtent l="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677" cstate="print">
                      <a:extLst>
                        <a:ext uri="{28A0092B-C50C-407E-A947-70E740481C1C}">
                          <a14:useLocalDpi xmlns:a14="http://schemas.microsoft.com/office/drawing/2010/main" val="0"/>
                        </a:ext>
                      </a:extLst>
                    </a:blip>
                    <a:srcRect/>
                    <a:stretch>
                      <a:fillRect/>
                    </a:stretch>
                  </pic:blipFill>
                  <pic:spPr bwMode="auto">
                    <a:xfrm>
                      <a:off x="0" y="0"/>
                      <a:ext cx="752475" cy="209550"/>
                    </a:xfrm>
                    <a:prstGeom prst="rect">
                      <a:avLst/>
                    </a:prstGeom>
                    <a:noFill/>
                    <a:ln>
                      <a:noFill/>
                    </a:ln>
                  </pic:spPr>
                </pic:pic>
              </a:graphicData>
            </a:graphic>
          </wp:inline>
        </w:drawing>
      </w:r>
      <w:r>
        <w:rPr>
          <w:rFonts w:ascii="Arial" w:hAnsi="Arial" w:cs="Arial"/>
          <w:sz w:val="20"/>
          <w:szCs w:val="20"/>
        </w:rP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6"/>
          <w:sz w:val="20"/>
          <w:szCs w:val="20"/>
          <w:lang w:eastAsia="ru-RU"/>
        </w:rPr>
        <w:drawing>
          <wp:inline distT="0" distB="0" distL="0" distR="0">
            <wp:extent cx="561975" cy="209550"/>
            <wp:effectExtent l="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678"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Pr>
          <w:rFonts w:ascii="Arial" w:hAnsi="Arial" w:cs="Arial"/>
          <w:sz w:val="20"/>
          <w:szCs w:val="20"/>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7"/>
          <w:sz w:val="20"/>
          <w:szCs w:val="20"/>
          <w:lang w:eastAsia="ru-RU"/>
        </w:rPr>
        <w:drawing>
          <wp:inline distT="0" distB="0" distL="0" distR="0">
            <wp:extent cx="342900" cy="219075"/>
            <wp:effectExtent l="0" t="0" r="0"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679" cstate="print">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Pr>
          <w:rFonts w:ascii="Arial" w:hAnsi="Arial" w:cs="Arial"/>
          <w:sz w:val="20"/>
          <w:szCs w:val="20"/>
        </w:rPr>
        <w:t xml:space="preserve"> - сбытовая надбавка гарантирующего поставщика, учитываемая в стоимости электрической энергии в ставке </w:t>
      </w:r>
      <w:r>
        <w:rPr>
          <w:rFonts w:ascii="Arial" w:hAnsi="Arial" w:cs="Arial"/>
          <w:noProof/>
          <w:position w:val="-7"/>
          <w:sz w:val="20"/>
          <w:szCs w:val="20"/>
          <w:lang w:eastAsia="ru-RU"/>
        </w:rPr>
        <w:drawing>
          <wp:inline distT="0" distB="0" distL="0" distR="0">
            <wp:extent cx="600075" cy="219075"/>
            <wp:effectExtent l="0" t="0" r="9525"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Pr>
          <w:rFonts w:ascii="Arial" w:hAnsi="Arial" w:cs="Arial"/>
          <w:sz w:val="20"/>
          <w:szCs w:val="20"/>
        </w:rP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1681" w:history="1">
        <w:r>
          <w:rPr>
            <w:rFonts w:ascii="Arial" w:hAnsi="Arial" w:cs="Arial"/>
            <w:color w:val="0000FF"/>
            <w:sz w:val="20"/>
            <w:szCs w:val="20"/>
          </w:rPr>
          <w:t>Основами</w:t>
        </w:r>
      </w:hyperlink>
      <w:r>
        <w:rPr>
          <w:rFonts w:ascii="Arial" w:hAnsi="Arial" w:cs="Arial"/>
          <w:sz w:val="20"/>
          <w:szCs w:val="20"/>
        </w:rPr>
        <w:t xml:space="preserve"> ценообразования в области регулируемых цен (тарифов) в электроэнергетике,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7"/>
          <w:sz w:val="20"/>
          <w:szCs w:val="20"/>
          <w:lang w:eastAsia="ru-RU"/>
        </w:rPr>
        <w:drawing>
          <wp:inline distT="0" distB="0" distL="0" distR="0">
            <wp:extent cx="571500" cy="219075"/>
            <wp:effectExtent l="0" t="0" r="0"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682" cstate="print">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Pr>
          <w:rFonts w:ascii="Arial" w:hAnsi="Arial" w:cs="Arial"/>
          <w:sz w:val="20"/>
          <w:szCs w:val="20"/>
        </w:rPr>
        <w:t xml:space="preserve"> - ставка за мощность, приобретаемую потребителем (покупателем), предельного уровня нерегулируемых цен для шестой ценовой категории, определяемая гарантирующим поставщиком в отношении поставляемого потребителю (покупателю), принадлежащему к n-й группе (подгруппе) потребителей, объема мощности по нерегулируемой цене за расчетный период (m), рублей/МВт;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6"/>
          <w:sz w:val="20"/>
          <w:szCs w:val="20"/>
          <w:lang w:eastAsia="ru-RU"/>
        </w:rPr>
        <w:drawing>
          <wp:inline distT="0" distB="0" distL="0" distR="0">
            <wp:extent cx="419100" cy="20955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Pr>
          <w:rFonts w:ascii="Arial" w:hAnsi="Arial" w:cs="Arial"/>
          <w:sz w:val="20"/>
          <w:szCs w:val="20"/>
        </w:rP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7"/>
          <w:sz w:val="20"/>
          <w:szCs w:val="20"/>
          <w:lang w:eastAsia="ru-RU"/>
        </w:rPr>
        <w:drawing>
          <wp:inline distT="0" distB="0" distL="0" distR="0">
            <wp:extent cx="342900" cy="219075"/>
            <wp:effectExtent l="0" t="0" r="0"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684" cstate="print">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Pr>
          <w:rFonts w:ascii="Arial" w:hAnsi="Arial" w:cs="Arial"/>
          <w:sz w:val="20"/>
          <w:szCs w:val="20"/>
        </w:rP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1685" w:history="1">
        <w:r>
          <w:rPr>
            <w:rFonts w:ascii="Arial" w:hAnsi="Arial" w:cs="Arial"/>
            <w:color w:val="0000FF"/>
            <w:sz w:val="20"/>
            <w:szCs w:val="20"/>
          </w:rPr>
          <w:t>Основами</w:t>
        </w:r>
      </w:hyperlink>
      <w:r>
        <w:rPr>
          <w:rFonts w:ascii="Arial" w:hAnsi="Arial" w:cs="Arial"/>
          <w:sz w:val="20"/>
          <w:szCs w:val="20"/>
        </w:rPr>
        <w:t xml:space="preserve"> ценообразования в области регулируемых цен (тарифов) в электроэнергетике, рублей/МВт;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7"/>
          <w:sz w:val="20"/>
          <w:szCs w:val="20"/>
          <w:lang w:eastAsia="ru-RU"/>
        </w:rPr>
        <w:drawing>
          <wp:inline distT="0" distB="0" distL="0" distR="0">
            <wp:extent cx="561975" cy="219075"/>
            <wp:effectExtent l="0" t="0" r="9525"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686"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Pr>
          <w:rFonts w:ascii="Arial" w:hAnsi="Arial" w:cs="Arial"/>
          <w:sz w:val="20"/>
          <w:szCs w:val="20"/>
        </w:rPr>
        <w:t xml:space="preserve"> -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для шестой ценовой категории, применяемая гарантирующим поставщиком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687" w:history="1">
        <w:r>
          <w:rPr>
            <w:rFonts w:ascii="Arial" w:hAnsi="Arial" w:cs="Arial"/>
            <w:color w:val="0000FF"/>
            <w:sz w:val="20"/>
            <w:szCs w:val="20"/>
          </w:rPr>
          <w:t>Правилами</w:t>
        </w:r>
      </w:hyperlink>
      <w:r>
        <w:rPr>
          <w:rFonts w:ascii="Arial" w:hAnsi="Arial" w:cs="Arial"/>
          <w:sz w:val="20"/>
          <w:szCs w:val="20"/>
        </w:rPr>
        <w:t xml:space="preserve"> недискриминационного доступа к услугам по передаче </w:t>
      </w:r>
      <w:r>
        <w:rPr>
          <w:rFonts w:ascii="Arial" w:hAnsi="Arial" w:cs="Arial"/>
          <w:sz w:val="20"/>
          <w:szCs w:val="20"/>
        </w:rPr>
        <w:lastRenderedPageBreak/>
        <w:t>электрической энергии и оказания этих услуг в отношении расчетного периода (m) и j-го уровня напряжения, рублей/МВт;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7"/>
          <w:sz w:val="20"/>
          <w:szCs w:val="20"/>
          <w:lang w:eastAsia="ru-RU"/>
        </w:rPr>
        <w:drawing>
          <wp:inline distT="0" distB="0" distL="0" distR="0">
            <wp:extent cx="371475" cy="219075"/>
            <wp:effectExtent l="0" t="0" r="9525"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688" cstate="print">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rPr>
          <w:rFonts w:ascii="Arial" w:hAnsi="Arial" w:cs="Arial"/>
          <w:sz w:val="20"/>
          <w:szCs w:val="20"/>
        </w:rP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9(1). Плата за иные услуги, оказание которых является неотъемлемой частью процесса поставки электрической энергии потребителям, рассчитывается гарантирующим поставщиком в отношении своих потребителей (покупателей) по формуле:</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28"/>
          <w:sz w:val="20"/>
          <w:szCs w:val="20"/>
          <w:lang w:eastAsia="ru-RU"/>
        </w:rPr>
        <w:drawing>
          <wp:inline distT="0" distB="0" distL="0" distR="0">
            <wp:extent cx="1438275" cy="485775"/>
            <wp:effectExtent l="0" t="0" r="9525"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689" cstate="print">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r>
        <w:rPr>
          <w:rFonts w:ascii="Arial" w:hAnsi="Arial" w:cs="Arial"/>
          <w:sz w:val="20"/>
          <w:szCs w:val="20"/>
        </w:rPr>
        <w:t>, (28)</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295275" cy="238125"/>
            <wp:effectExtent l="0" t="0" r="9525"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690"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Pr>
          <w:rFonts w:ascii="Arial" w:hAnsi="Arial" w:cs="Arial"/>
          <w:sz w:val="20"/>
          <w:szCs w:val="20"/>
        </w:rPr>
        <w:t xml:space="preserve"> - стоимость услуги по оперативно-диспетчерскому управлению в электроэнергетике, подлежащая оплате гарантирующим поставщиком за расчетный период (m-1), рублей;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295275" cy="238125"/>
            <wp:effectExtent l="0" t="0" r="9525"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691"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Pr>
          <w:rFonts w:ascii="Arial" w:hAnsi="Arial" w:cs="Arial"/>
          <w:sz w:val="20"/>
          <w:szCs w:val="20"/>
        </w:rPr>
        <w:t xml:space="preserve"> -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подлежащая оплате гарантирующим поставщиком за расчетный период (m-1), рублей;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342900" cy="238125"/>
            <wp:effectExtent l="0" t="0" r="0"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692" cstate="print">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Pr>
          <w:rFonts w:ascii="Arial" w:hAnsi="Arial" w:cs="Arial"/>
          <w:sz w:val="20"/>
          <w:szCs w:val="20"/>
        </w:rPr>
        <w:t xml:space="preserve"> - стоимость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подлежащая оплате гарантирующим поставщиком за расчетный период (m-1), рублей;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304800" cy="238125"/>
            <wp:effectExtent l="0" t="0" r="0"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693"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Pr>
          <w:rFonts w:ascii="Arial" w:hAnsi="Arial" w:cs="Arial"/>
          <w:sz w:val="20"/>
          <w:szCs w:val="20"/>
        </w:rPr>
        <w:t xml:space="preserve"> - объем поставки электрической энергии потребителям (покупателям) гарантирующего поставщика за расчетный период (m), 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9(2). При определении предельных уровней нерегулируемых цен начиная с расчетного периода, с которого сбытовые надбавки гарантирующих поставщиков определяются в виде формулы, гарантирующий поставщик рассчитывает сбытовые надбавки в соответствии с </w:t>
      </w:r>
      <w:hyperlink r:id="rId1694" w:history="1">
        <w:r>
          <w:rPr>
            <w:rFonts w:ascii="Arial" w:hAnsi="Arial" w:cs="Arial"/>
            <w:color w:val="0000FF"/>
            <w:sz w:val="20"/>
            <w:szCs w:val="20"/>
          </w:rPr>
          <w:t>Основами</w:t>
        </w:r>
      </w:hyperlink>
      <w:r>
        <w:rPr>
          <w:rFonts w:ascii="Arial" w:hAnsi="Arial" w:cs="Arial"/>
          <w:sz w:val="20"/>
          <w:szCs w:val="20"/>
        </w:rPr>
        <w:t xml:space="preserve"> ценообразования в области регулируемых цен (тарифов) в электроэнергетике и включает их в соответствующие составляющие предельных уровней нерегулируемых цен в порядке, предусмотренном настоящими Правилами.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До расчетного периода, начиная с которого сбытовые надбавки гарантирующих поставщиков определяются в виде формулы, гарантирующий поставщик использует следующие формулы:</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для первой ценовой категории:</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10"/>
          <w:sz w:val="20"/>
          <w:szCs w:val="20"/>
          <w:lang w:eastAsia="ru-RU"/>
        </w:rPr>
        <w:drawing>
          <wp:inline distT="0" distB="0" distL="0" distR="0">
            <wp:extent cx="1047750" cy="257175"/>
            <wp:effectExtent l="0" t="0" r="0"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695" cstate="print">
                      <a:extLst>
                        <a:ext uri="{28A0092B-C50C-407E-A947-70E740481C1C}">
                          <a14:useLocalDpi xmlns:a14="http://schemas.microsoft.com/office/drawing/2010/main" val="0"/>
                        </a:ext>
                      </a:extLst>
                    </a:blip>
                    <a:srcRect/>
                    <a:stretch>
                      <a:fillRect/>
                    </a:stretch>
                  </pic:blipFill>
                  <pic:spPr bwMode="auto">
                    <a:xfrm>
                      <a:off x="0" y="0"/>
                      <a:ext cx="1047750" cy="257175"/>
                    </a:xfrm>
                    <a:prstGeom prst="rect">
                      <a:avLst/>
                    </a:prstGeom>
                    <a:noFill/>
                    <a:ln>
                      <a:noFill/>
                    </a:ln>
                  </pic:spPr>
                </pic:pic>
              </a:graphicData>
            </a:graphic>
          </wp:inline>
        </w:drawing>
      </w:r>
      <w:r>
        <w:rPr>
          <w:rFonts w:ascii="Arial" w:hAnsi="Arial" w:cs="Arial"/>
          <w:sz w:val="20"/>
          <w:szCs w:val="20"/>
        </w:rPr>
        <w:t>;</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для второй ценовой категории:</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10"/>
          <w:sz w:val="20"/>
          <w:szCs w:val="20"/>
          <w:lang w:eastAsia="ru-RU"/>
        </w:rPr>
        <w:drawing>
          <wp:inline distT="0" distB="0" distL="0" distR="0">
            <wp:extent cx="1047750" cy="257175"/>
            <wp:effectExtent l="0" t="0" r="0"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696" cstate="print">
                      <a:extLst>
                        <a:ext uri="{28A0092B-C50C-407E-A947-70E740481C1C}">
                          <a14:useLocalDpi xmlns:a14="http://schemas.microsoft.com/office/drawing/2010/main" val="0"/>
                        </a:ext>
                      </a:extLst>
                    </a:blip>
                    <a:srcRect/>
                    <a:stretch>
                      <a:fillRect/>
                    </a:stretch>
                  </pic:blipFill>
                  <pic:spPr bwMode="auto">
                    <a:xfrm>
                      <a:off x="0" y="0"/>
                      <a:ext cx="1047750" cy="257175"/>
                    </a:xfrm>
                    <a:prstGeom prst="rect">
                      <a:avLst/>
                    </a:prstGeom>
                    <a:noFill/>
                    <a:ln>
                      <a:noFill/>
                    </a:ln>
                  </pic:spPr>
                </pic:pic>
              </a:graphicData>
            </a:graphic>
          </wp:inline>
        </w:drawing>
      </w:r>
      <w:r>
        <w:rPr>
          <w:rFonts w:ascii="Arial" w:hAnsi="Arial" w:cs="Arial"/>
          <w:sz w:val="20"/>
          <w:szCs w:val="20"/>
        </w:rPr>
        <w:t>;</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для третьей и четвертой ценовых категорий:</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10"/>
          <w:sz w:val="20"/>
          <w:szCs w:val="20"/>
          <w:lang w:eastAsia="ru-RU"/>
        </w:rPr>
        <w:drawing>
          <wp:inline distT="0" distB="0" distL="0" distR="0">
            <wp:extent cx="952500" cy="257175"/>
            <wp:effectExtent l="0" t="0" r="0"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697" cstate="print">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10"/>
          <w:sz w:val="20"/>
          <w:szCs w:val="20"/>
          <w:lang w:eastAsia="ru-RU"/>
        </w:rPr>
        <w:drawing>
          <wp:inline distT="0" distB="0" distL="0" distR="0">
            <wp:extent cx="609600" cy="257175"/>
            <wp:effectExtent l="0" t="0" r="0"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698"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Pr>
          <w:rFonts w:ascii="Arial" w:hAnsi="Arial" w:cs="Arial"/>
          <w:sz w:val="20"/>
          <w:szCs w:val="20"/>
        </w:rPr>
        <w:t>;</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для пятой и шестой ценовых категорий:</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10"/>
          <w:sz w:val="20"/>
          <w:szCs w:val="20"/>
          <w:lang w:eastAsia="ru-RU"/>
        </w:rPr>
        <w:drawing>
          <wp:inline distT="0" distB="0" distL="0" distR="0">
            <wp:extent cx="981075" cy="257175"/>
            <wp:effectExtent l="0" t="0" r="9525"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699" cstate="print">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10"/>
          <w:sz w:val="20"/>
          <w:szCs w:val="20"/>
          <w:lang w:eastAsia="ru-RU"/>
        </w:rPr>
        <w:drawing>
          <wp:inline distT="0" distB="0" distL="0" distR="0">
            <wp:extent cx="2143125" cy="257175"/>
            <wp:effectExtent l="0" t="0" r="9525"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700" cstate="print">
                      <a:extLst>
                        <a:ext uri="{28A0092B-C50C-407E-A947-70E740481C1C}">
                          <a14:useLocalDpi xmlns:a14="http://schemas.microsoft.com/office/drawing/2010/main" val="0"/>
                        </a:ext>
                      </a:extLst>
                    </a:blip>
                    <a:srcRect/>
                    <a:stretch>
                      <a:fillRect/>
                    </a:stretch>
                  </pic:blipFill>
                  <pic:spPr bwMode="auto">
                    <a:xfrm>
                      <a:off x="0" y="0"/>
                      <a:ext cx="2143125" cy="25717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position w:val="-10"/>
          <w:sz w:val="20"/>
          <w:szCs w:val="20"/>
          <w:lang w:eastAsia="ru-RU"/>
        </w:rPr>
        <w:drawing>
          <wp:inline distT="0" distB="0" distL="0" distR="0">
            <wp:extent cx="609600" cy="257175"/>
            <wp:effectExtent l="0" t="0" r="0"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701"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Pr>
          <w:rFonts w:ascii="Arial" w:hAnsi="Arial" w:cs="Arial"/>
          <w:sz w:val="20"/>
          <w:szCs w:val="20"/>
        </w:rPr>
        <w:t>,</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где </w:t>
      </w:r>
      <w:r>
        <w:rPr>
          <w:rFonts w:ascii="Arial" w:hAnsi="Arial" w:cs="Arial"/>
          <w:noProof/>
          <w:position w:val="-9"/>
          <w:sz w:val="20"/>
          <w:szCs w:val="20"/>
          <w:lang w:eastAsia="ru-RU"/>
        </w:rPr>
        <w:drawing>
          <wp:inline distT="0" distB="0" distL="0" distR="0">
            <wp:extent cx="495300" cy="238125"/>
            <wp:effectExtent l="0" t="0" r="0"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Pr>
          <w:rFonts w:ascii="Arial" w:hAnsi="Arial" w:cs="Arial"/>
          <w:sz w:val="20"/>
          <w:szCs w:val="20"/>
        </w:rPr>
        <w:t xml:space="preserve"> - сбытовая надбавка, установленная органами исполнительной власти в области государственного регулирования тарифов.</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9(3). Значения предельных уровней нерегулируемых цен и их составляющих, рассчитываемые в соответствии с настоящим разделом, определяются с точностью до 2 знаков после запятой по правилам математического округления.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10. Рассчитываемые в соответствии с настоящими Правилами предельные уровни нерегулируемых цен публикуются на официальном сайте гарантирующего поставщика в сети Интернет по форме согласно приложению. Начиная с расчетного периода, с которого предельные уровни нерегулируемых цен дифференцируются по группам (подгруппам) потребителей в соответствии с настоящими Правилами, предельные уровни нерегулируемых цен публикуются на официальном сайте гарантирующего поставщика в сети Интернет для каждой группы (подгруппы) потребителей.";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д) </w:t>
      </w:r>
      <w:hyperlink r:id="rId1703" w:history="1">
        <w:r>
          <w:rPr>
            <w:rFonts w:ascii="Arial" w:hAnsi="Arial" w:cs="Arial"/>
            <w:color w:val="0000FF"/>
            <w:sz w:val="20"/>
            <w:szCs w:val="20"/>
          </w:rPr>
          <w:t>дополнить</w:t>
        </w:r>
      </w:hyperlink>
      <w:r>
        <w:rPr>
          <w:rFonts w:ascii="Arial" w:hAnsi="Arial" w:cs="Arial"/>
          <w:sz w:val="20"/>
          <w:szCs w:val="20"/>
        </w:rPr>
        <w:t xml:space="preserve"> пунктами 10(1) - 10(3) следующего содержания: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"10(1). Для потребителей (покупателей), энергопринимающие устройства которых присоединены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гарантирующий поставщик осуществляет корректировку в сторону уменьшения предельных уровней нерегулируемых цен на величину, которая определяется по формуле:</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1438275" cy="238125"/>
            <wp:effectExtent l="0" t="0" r="9525"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704" cstate="print">
                      <a:extLst>
                        <a:ext uri="{28A0092B-C50C-407E-A947-70E740481C1C}">
                          <a14:useLocalDpi xmlns:a14="http://schemas.microsoft.com/office/drawing/2010/main" val="0"/>
                        </a:ext>
                      </a:extLst>
                    </a:blip>
                    <a:srcRect/>
                    <a:stretch>
                      <a:fillRect/>
                    </a:stretch>
                  </pic:blipFill>
                  <pic:spPr bwMode="auto">
                    <a:xfrm>
                      <a:off x="0" y="0"/>
                      <a:ext cx="1438275" cy="238125"/>
                    </a:xfrm>
                    <a:prstGeom prst="rect">
                      <a:avLst/>
                    </a:prstGeom>
                    <a:noFill/>
                    <a:ln>
                      <a:noFill/>
                    </a:ln>
                  </pic:spPr>
                </pic:pic>
              </a:graphicData>
            </a:graphic>
          </wp:inline>
        </w:drawing>
      </w:r>
      <w:r>
        <w:rPr>
          <w:rFonts w:ascii="Arial" w:hAnsi="Arial" w:cs="Arial"/>
          <w:sz w:val="20"/>
          <w:szCs w:val="20"/>
        </w:rPr>
        <w:t>, (29)</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04800" cy="257175"/>
            <wp:effectExtent l="0" t="0" r="0"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705"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Pr>
          <w:rFonts w:ascii="Arial" w:hAnsi="Arial" w:cs="Arial"/>
          <w:sz w:val="20"/>
          <w:szCs w:val="20"/>
        </w:rPr>
        <w:t xml:space="preserve"> - величина, на которую уменьшается ставка за электрическую энергию предельного уровня нерегулируемых цен для третьей - шестой ценовых категорий,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400050" cy="257175"/>
            <wp:effectExtent l="0" t="0" r="0"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706" cstate="print">
                      <a:extLst>
                        <a:ext uri="{28A0092B-C50C-407E-A947-70E740481C1C}">
                          <a14:useLocalDpi xmlns:a14="http://schemas.microsoft.com/office/drawing/2010/main" val="0"/>
                        </a:ext>
                      </a:extLst>
                    </a:blip>
                    <a:srcRect/>
                    <a:stretch>
                      <a:fillRect/>
                    </a:stretch>
                  </pic:blipFill>
                  <pic:spPr bwMode="auto">
                    <a:xfrm>
                      <a:off x="0" y="0"/>
                      <a:ext cx="400050" cy="257175"/>
                    </a:xfrm>
                    <a:prstGeom prst="rect">
                      <a:avLst/>
                    </a:prstGeom>
                    <a:noFill/>
                    <a:ln>
                      <a:noFill/>
                    </a:ln>
                  </pic:spPr>
                </pic:pic>
              </a:graphicData>
            </a:graphic>
          </wp:inline>
        </w:drawing>
      </w:r>
      <w:r>
        <w:rPr>
          <w:rFonts w:ascii="Arial" w:hAnsi="Arial" w:cs="Arial"/>
          <w:sz w:val="20"/>
          <w:szCs w:val="20"/>
        </w:rPr>
        <w:t xml:space="preserve"> - величина, на которую уменьшается предельный уровень нерегулируемых цен для первой и второй ценовых категорий,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523875" cy="257175"/>
            <wp:effectExtent l="0" t="0" r="9525"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707"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Pr>
          <w:rFonts w:ascii="Arial" w:hAnsi="Arial" w:cs="Arial"/>
          <w:sz w:val="20"/>
          <w:szCs w:val="20"/>
        </w:rPr>
        <w:t xml:space="preserve"> -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10(2).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заключившим договор купли-продажи (поставки) электрической энергии (мощности), гарантирующий поставщик осуществляет корректировку в сторону уменьшения указанных предельных уровней нерегулируемых цен на величины, которые определяются по формулам:</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10"/>
          <w:sz w:val="20"/>
          <w:szCs w:val="20"/>
          <w:lang w:eastAsia="ru-RU"/>
        </w:rPr>
        <w:drawing>
          <wp:inline distT="0" distB="0" distL="0" distR="0">
            <wp:extent cx="923925" cy="257175"/>
            <wp:effectExtent l="0" t="0" r="9525"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708" cstate="print">
                      <a:extLst>
                        <a:ext uri="{28A0092B-C50C-407E-A947-70E740481C1C}">
                          <a14:useLocalDpi xmlns:a14="http://schemas.microsoft.com/office/drawing/2010/main" val="0"/>
                        </a:ext>
                      </a:extLst>
                    </a:blip>
                    <a:srcRect/>
                    <a:stretch>
                      <a:fillRect/>
                    </a:stretch>
                  </pic:blipFill>
                  <pic:spPr bwMode="auto">
                    <a:xfrm>
                      <a:off x="0" y="0"/>
                      <a:ext cx="923925" cy="257175"/>
                    </a:xfrm>
                    <a:prstGeom prst="rect">
                      <a:avLst/>
                    </a:prstGeom>
                    <a:noFill/>
                    <a:ln>
                      <a:noFill/>
                    </a:ln>
                  </pic:spPr>
                </pic:pic>
              </a:graphicData>
            </a:graphic>
          </wp:inline>
        </w:drawing>
      </w:r>
      <w:r>
        <w:rPr>
          <w:rFonts w:ascii="Arial" w:hAnsi="Arial" w:cs="Arial"/>
          <w:sz w:val="20"/>
          <w:szCs w:val="20"/>
        </w:rPr>
        <w:t>, (30)</w:t>
      </w:r>
    </w:p>
    <w:p w:rsidR="009F5AFE" w:rsidRDefault="009F5AFE" w:rsidP="009F5AFE">
      <w:pPr>
        <w:autoSpaceDE w:val="0"/>
        <w:autoSpaceDN w:val="0"/>
        <w:adjustRightInd w:val="0"/>
        <w:spacing w:after="0" w:line="240" w:lineRule="auto"/>
        <w:jc w:val="center"/>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10"/>
          <w:sz w:val="20"/>
          <w:szCs w:val="20"/>
          <w:lang w:eastAsia="ru-RU"/>
        </w:rPr>
        <w:drawing>
          <wp:inline distT="0" distB="0" distL="0" distR="0">
            <wp:extent cx="923925" cy="257175"/>
            <wp:effectExtent l="0" t="0" r="9525"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709" cstate="print">
                      <a:extLst>
                        <a:ext uri="{28A0092B-C50C-407E-A947-70E740481C1C}">
                          <a14:useLocalDpi xmlns:a14="http://schemas.microsoft.com/office/drawing/2010/main" val="0"/>
                        </a:ext>
                      </a:extLst>
                    </a:blip>
                    <a:srcRect/>
                    <a:stretch>
                      <a:fillRect/>
                    </a:stretch>
                  </pic:blipFill>
                  <pic:spPr bwMode="auto">
                    <a:xfrm>
                      <a:off x="0" y="0"/>
                      <a:ext cx="923925" cy="257175"/>
                    </a:xfrm>
                    <a:prstGeom prst="rect">
                      <a:avLst/>
                    </a:prstGeom>
                    <a:noFill/>
                    <a:ln>
                      <a:noFill/>
                    </a:ln>
                  </pic:spPr>
                </pic:pic>
              </a:graphicData>
            </a:graphic>
          </wp:inline>
        </w:drawing>
      </w:r>
      <w:r>
        <w:rPr>
          <w:rFonts w:ascii="Arial" w:hAnsi="Arial" w:cs="Arial"/>
          <w:sz w:val="20"/>
          <w:szCs w:val="20"/>
        </w:rPr>
        <w:t>, (31)</w:t>
      </w:r>
    </w:p>
    <w:p w:rsidR="009F5AFE" w:rsidRDefault="009F5AFE" w:rsidP="009F5AFE">
      <w:pPr>
        <w:autoSpaceDE w:val="0"/>
        <w:autoSpaceDN w:val="0"/>
        <w:adjustRightInd w:val="0"/>
        <w:spacing w:after="0" w:line="240" w:lineRule="auto"/>
        <w:jc w:val="center"/>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10"/>
          <w:sz w:val="20"/>
          <w:szCs w:val="20"/>
          <w:lang w:eastAsia="ru-RU"/>
        </w:rPr>
        <w:drawing>
          <wp:inline distT="0" distB="0" distL="0" distR="0">
            <wp:extent cx="847725" cy="257175"/>
            <wp:effectExtent l="0" t="0" r="9525"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710"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Pr>
          <w:rFonts w:ascii="Arial" w:hAnsi="Arial" w:cs="Arial"/>
          <w:sz w:val="20"/>
          <w:szCs w:val="20"/>
        </w:rPr>
        <w:t>, (32)</w:t>
      </w:r>
    </w:p>
    <w:p w:rsidR="009F5AFE" w:rsidRDefault="009F5AFE" w:rsidP="009F5AFE">
      <w:pPr>
        <w:autoSpaceDE w:val="0"/>
        <w:autoSpaceDN w:val="0"/>
        <w:adjustRightInd w:val="0"/>
        <w:spacing w:after="0" w:line="240" w:lineRule="auto"/>
        <w:jc w:val="center"/>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lastRenderedPageBreak/>
        <w:drawing>
          <wp:inline distT="0" distB="0" distL="0" distR="0">
            <wp:extent cx="304800" cy="257175"/>
            <wp:effectExtent l="0" t="0" r="0"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711"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Pr>
          <w:rFonts w:ascii="Arial" w:hAnsi="Arial" w:cs="Arial"/>
          <w:sz w:val="20"/>
          <w:szCs w:val="20"/>
        </w:rPr>
        <w:t xml:space="preserve"> - величина, на которую уменьшается ставка за электрическую энергию предельного уровня нерегулируемых цен для четвертой и шестой ценовых категорий,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523875" cy="257175"/>
            <wp:effectExtent l="0" t="0" r="9525"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Pr>
          <w:rFonts w:ascii="Arial" w:hAnsi="Arial" w:cs="Arial"/>
          <w:sz w:val="20"/>
          <w:szCs w:val="20"/>
        </w:rPr>
        <w:t xml:space="preserve"> - дифференцированная по уровням напряжения 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04800" cy="257175"/>
            <wp:effectExtent l="0" t="0" r="0"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713"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Pr>
          <w:rFonts w:ascii="Arial" w:hAnsi="Arial" w:cs="Arial"/>
          <w:sz w:val="20"/>
          <w:szCs w:val="20"/>
        </w:rPr>
        <w:t xml:space="preserve"> - величина, на которую уменьшается ставка тарифа на услуги по передаче электрической энергии за содержание электрических сетей предельного уровня нерегулируемых цен для четвертой и шестой ценовых категорий, рублей/МВт;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523875" cy="257175"/>
            <wp:effectExtent l="0" t="0" r="9525"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714"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Pr>
          <w:rFonts w:ascii="Arial" w:hAnsi="Arial" w:cs="Arial"/>
          <w:sz w:val="20"/>
          <w:szCs w:val="20"/>
        </w:rP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400050" cy="257175"/>
            <wp:effectExtent l="0" t="0" r="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715" cstate="print">
                      <a:extLst>
                        <a:ext uri="{28A0092B-C50C-407E-A947-70E740481C1C}">
                          <a14:useLocalDpi xmlns:a14="http://schemas.microsoft.com/office/drawing/2010/main" val="0"/>
                        </a:ext>
                      </a:extLst>
                    </a:blip>
                    <a:srcRect/>
                    <a:stretch>
                      <a:fillRect/>
                    </a:stretch>
                  </pic:blipFill>
                  <pic:spPr bwMode="auto">
                    <a:xfrm>
                      <a:off x="0" y="0"/>
                      <a:ext cx="400050" cy="257175"/>
                    </a:xfrm>
                    <a:prstGeom prst="rect">
                      <a:avLst/>
                    </a:prstGeom>
                    <a:noFill/>
                    <a:ln>
                      <a:noFill/>
                    </a:ln>
                  </pic:spPr>
                </pic:pic>
              </a:graphicData>
            </a:graphic>
          </wp:inline>
        </w:drawing>
      </w:r>
      <w:r>
        <w:rPr>
          <w:rFonts w:ascii="Arial" w:hAnsi="Arial" w:cs="Arial"/>
          <w:sz w:val="20"/>
          <w:szCs w:val="20"/>
        </w:rPr>
        <w:t xml:space="preserve"> - величина, на которую уменьшается одноставочный предельный уровень нерегулируемых цен для первой и второй ценовых категорий, а также ставка за электрическую энергию предельного уровня нерегулируемых цен для третьей и пятой ценовых категорий,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42900" cy="257175"/>
            <wp:effectExtent l="0" t="0" r="0"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716"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Pr>
          <w:rFonts w:ascii="Arial" w:hAnsi="Arial" w:cs="Arial"/>
          <w:sz w:val="20"/>
          <w:szCs w:val="20"/>
        </w:rPr>
        <w:t xml:space="preserve"> - одноставочный тариф на оказание услуг по передаче электрической энергии, определенный и опубликованный органом исполнительной власти субъекта Российской Федерации в области регулирования тарифов,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10(3).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заключившим договор энергоснабжения, предусматривающий урегулирование услуг по передаче электрической энергии, при этом гарантирующий поставщик в интересах указанного потребителя (покупателя) заключил договор оказания услуг по передаче электрической энергии только с организацией по управлению единой национальной (общероссийской) электрической сетью, гарантирующий поставщик осуществляет корректировку в сторону уменьшения указанных предельных уровней нерегулируемых цен на величины, рассчитываемые по формулам:</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10"/>
          <w:sz w:val="20"/>
          <w:szCs w:val="20"/>
          <w:lang w:eastAsia="ru-RU"/>
        </w:rPr>
        <w:drawing>
          <wp:inline distT="0" distB="0" distL="0" distR="0">
            <wp:extent cx="1552575" cy="257175"/>
            <wp:effectExtent l="0" t="0" r="9525"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717" cstate="print">
                      <a:extLst>
                        <a:ext uri="{28A0092B-C50C-407E-A947-70E740481C1C}">
                          <a14:useLocalDpi xmlns:a14="http://schemas.microsoft.com/office/drawing/2010/main" val="0"/>
                        </a:ext>
                      </a:extLst>
                    </a:blip>
                    <a:srcRect/>
                    <a:stretch>
                      <a:fillRect/>
                    </a:stretch>
                  </pic:blipFill>
                  <pic:spPr bwMode="auto">
                    <a:xfrm>
                      <a:off x="0" y="0"/>
                      <a:ext cx="1552575" cy="257175"/>
                    </a:xfrm>
                    <a:prstGeom prst="rect">
                      <a:avLst/>
                    </a:prstGeom>
                    <a:noFill/>
                    <a:ln>
                      <a:noFill/>
                    </a:ln>
                  </pic:spPr>
                </pic:pic>
              </a:graphicData>
            </a:graphic>
          </wp:inline>
        </w:drawing>
      </w:r>
      <w:r>
        <w:rPr>
          <w:rFonts w:ascii="Arial" w:hAnsi="Arial" w:cs="Arial"/>
          <w:sz w:val="20"/>
          <w:szCs w:val="20"/>
        </w:rPr>
        <w:t>, (33)</w:t>
      </w:r>
    </w:p>
    <w:p w:rsidR="009F5AFE" w:rsidRDefault="009F5AFE" w:rsidP="009F5AFE">
      <w:pPr>
        <w:autoSpaceDE w:val="0"/>
        <w:autoSpaceDN w:val="0"/>
        <w:adjustRightInd w:val="0"/>
        <w:spacing w:after="0" w:line="240" w:lineRule="auto"/>
        <w:jc w:val="center"/>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10"/>
          <w:sz w:val="20"/>
          <w:szCs w:val="20"/>
          <w:lang w:eastAsia="ru-RU"/>
        </w:rPr>
        <w:drawing>
          <wp:inline distT="0" distB="0" distL="0" distR="0">
            <wp:extent cx="1552575" cy="257175"/>
            <wp:effectExtent l="0" t="0" r="9525"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718" cstate="print">
                      <a:extLst>
                        <a:ext uri="{28A0092B-C50C-407E-A947-70E740481C1C}">
                          <a14:useLocalDpi xmlns:a14="http://schemas.microsoft.com/office/drawing/2010/main" val="0"/>
                        </a:ext>
                      </a:extLst>
                    </a:blip>
                    <a:srcRect/>
                    <a:stretch>
                      <a:fillRect/>
                    </a:stretch>
                  </pic:blipFill>
                  <pic:spPr bwMode="auto">
                    <a:xfrm>
                      <a:off x="0" y="0"/>
                      <a:ext cx="1552575" cy="257175"/>
                    </a:xfrm>
                    <a:prstGeom prst="rect">
                      <a:avLst/>
                    </a:prstGeom>
                    <a:noFill/>
                    <a:ln>
                      <a:noFill/>
                    </a:ln>
                  </pic:spPr>
                </pic:pic>
              </a:graphicData>
            </a:graphic>
          </wp:inline>
        </w:drawing>
      </w:r>
      <w:r>
        <w:rPr>
          <w:rFonts w:ascii="Arial" w:hAnsi="Arial" w:cs="Arial"/>
          <w:sz w:val="20"/>
          <w:szCs w:val="20"/>
        </w:rPr>
        <w:t>, (34)</w:t>
      </w:r>
    </w:p>
    <w:p w:rsidR="009F5AFE" w:rsidRDefault="009F5AFE" w:rsidP="009F5AFE">
      <w:pPr>
        <w:autoSpaceDE w:val="0"/>
        <w:autoSpaceDN w:val="0"/>
        <w:adjustRightInd w:val="0"/>
        <w:spacing w:after="0" w:line="240" w:lineRule="auto"/>
        <w:jc w:val="center"/>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04800" cy="257175"/>
            <wp:effectExtent l="0" t="0" r="0"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719"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Pr>
          <w:rFonts w:ascii="Arial" w:hAnsi="Arial" w:cs="Arial"/>
          <w:sz w:val="20"/>
          <w:szCs w:val="20"/>
        </w:rPr>
        <w:t xml:space="preserve"> - величина, на которую уменьшается ставка за электрическую энергию предельного уровня нерегулируемых цен для четвертой и шестой ценовых категорий, применяемого в отношении поставляемого объема электрической энергии (мощности), соответствующего j-му уровню напряжения,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523875" cy="257175"/>
            <wp:effectExtent l="0" t="0" r="9525"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720"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Pr>
          <w:rFonts w:ascii="Arial" w:hAnsi="Arial" w:cs="Arial"/>
          <w:sz w:val="20"/>
          <w:szCs w:val="20"/>
        </w:rPr>
        <w:t xml:space="preserve"> - дифференцированная по уровням напряжения 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в отношении j-го уровня напряжения,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Т</w:t>
      </w:r>
      <w:r>
        <w:rPr>
          <w:rFonts w:ascii="Arial" w:hAnsi="Arial" w:cs="Arial"/>
          <w:sz w:val="20"/>
          <w:szCs w:val="20"/>
          <w:vertAlign w:val="superscript"/>
        </w:rPr>
        <w:t>пот_ЕНЭС</w:t>
      </w:r>
      <w:r>
        <w:rPr>
          <w:rFonts w:ascii="Arial" w:hAnsi="Arial" w:cs="Arial"/>
          <w:sz w:val="20"/>
          <w:szCs w:val="20"/>
        </w:rPr>
        <w:t xml:space="preserve"> - ставка на оплату нормативных технологических потерь тарифа на услуги по передаче электрической энергии по единой национальной (общероссийской) электрической сети, определенная и опубликованная Федеральной службой по тарифам,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04800" cy="257175"/>
            <wp:effectExtent l="0" t="0" r="0"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721"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Pr>
          <w:rFonts w:ascii="Arial" w:hAnsi="Arial" w:cs="Arial"/>
          <w:sz w:val="20"/>
          <w:szCs w:val="20"/>
        </w:rPr>
        <w:t xml:space="preserve"> - величина, на которую уменьшается ставка тарифа на услуги по передаче электрической энергии за содержание электрических сетей предельного уровня нерегулируемых цен для четвертой и шестой ценовых категорий, рублей/МВт;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523875" cy="257175"/>
            <wp:effectExtent l="0" t="0" r="952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722"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Pr>
          <w:rFonts w:ascii="Arial" w:hAnsi="Arial" w:cs="Arial"/>
          <w:sz w:val="20"/>
          <w:szCs w:val="20"/>
        </w:rP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в отношении j-го уровня напряжения, рублей/МВт;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Т</w:t>
      </w:r>
      <w:r>
        <w:rPr>
          <w:rFonts w:ascii="Arial" w:hAnsi="Arial" w:cs="Arial"/>
          <w:sz w:val="20"/>
          <w:szCs w:val="20"/>
          <w:vertAlign w:val="superscript"/>
        </w:rPr>
        <w:t>сод_ЕНЭС</w:t>
      </w:r>
      <w:r>
        <w:rPr>
          <w:rFonts w:ascii="Arial" w:hAnsi="Arial" w:cs="Arial"/>
          <w:sz w:val="20"/>
          <w:szCs w:val="20"/>
        </w:rPr>
        <w:t xml:space="preserve"> - ставка за содержание объектов электросетевого хозяйства, входящих в единую национальную (общероссийскую) электрическую сеть, тарифа на услуги по передаче электрической энергии по единой национальной (общероссийской) электрической сети, определенная и опубликованная Федеральной службой по тарифам, рублей/МВт.";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е) в </w:t>
      </w:r>
      <w:hyperlink r:id="rId1723" w:history="1">
        <w:r>
          <w:rPr>
            <w:rFonts w:ascii="Arial" w:hAnsi="Arial" w:cs="Arial"/>
            <w:color w:val="0000FF"/>
            <w:sz w:val="20"/>
            <w:szCs w:val="20"/>
          </w:rPr>
          <w:t>заголовке</w:t>
        </w:r>
      </w:hyperlink>
      <w:r>
        <w:rPr>
          <w:rFonts w:ascii="Arial" w:hAnsi="Arial" w:cs="Arial"/>
          <w:sz w:val="20"/>
          <w:szCs w:val="20"/>
        </w:rPr>
        <w:t xml:space="preserve"> раздела III слово "средневзвешенных" заменить словами "составляющих предельных уровней";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ж) в </w:t>
      </w:r>
      <w:hyperlink r:id="rId1724" w:history="1">
        <w:r>
          <w:rPr>
            <w:rFonts w:ascii="Arial" w:hAnsi="Arial" w:cs="Arial"/>
            <w:color w:val="0000FF"/>
            <w:sz w:val="20"/>
            <w:szCs w:val="20"/>
          </w:rPr>
          <w:t>абзаце первом пункта 11</w:t>
        </w:r>
      </w:hyperlink>
      <w:r>
        <w:rPr>
          <w:rFonts w:ascii="Arial" w:hAnsi="Arial" w:cs="Arial"/>
          <w:sz w:val="20"/>
          <w:szCs w:val="20"/>
        </w:rPr>
        <w:t xml:space="preserve"> после слова "определяет" дополнить словами "в соответствии с </w:t>
      </w:r>
      <w:hyperlink r:id="rId1725" w:history="1">
        <w:r>
          <w:rPr>
            <w:rFonts w:ascii="Arial" w:hAnsi="Arial" w:cs="Arial"/>
            <w:color w:val="0000FF"/>
            <w:sz w:val="20"/>
            <w:szCs w:val="20"/>
          </w:rPr>
          <w:t>Правилами</w:t>
        </w:r>
      </w:hyperlink>
      <w:r>
        <w:rPr>
          <w:rFonts w:ascii="Arial" w:hAnsi="Arial" w:cs="Arial"/>
          <w:sz w:val="20"/>
          <w:szCs w:val="20"/>
        </w:rPr>
        <w:t xml:space="preserve"> оптового рынка электрической энергии и мощности, а также договором о присоединении к торговой системе оптового рынка" и после слов "нерегулируемых цен" дополнить словами "и параметры, используемые для расчета в соответствии с Основными положениями функционирования розничных рынков электрической энергии";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з) </w:t>
      </w:r>
      <w:hyperlink r:id="rId1726" w:history="1">
        <w:r>
          <w:rPr>
            <w:rFonts w:ascii="Arial" w:hAnsi="Arial" w:cs="Arial"/>
            <w:color w:val="0000FF"/>
            <w:sz w:val="20"/>
            <w:szCs w:val="20"/>
          </w:rPr>
          <w:t>пункт 14</w:t>
        </w:r>
      </w:hyperlink>
      <w:r>
        <w:rPr>
          <w:rFonts w:ascii="Arial" w:hAnsi="Arial" w:cs="Arial"/>
          <w:sz w:val="20"/>
          <w:szCs w:val="20"/>
        </w:rPr>
        <w:t xml:space="preserve"> изложить в следующей редакции: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"14. Дифференцированная по зонам суток расчетного периода средневзвешенная нерегулируемая цена на электрическую энергию на оптовом рынке в зоне суток (z) расчетного периода (m) (</w:t>
      </w:r>
      <w:r>
        <w:rPr>
          <w:rFonts w:ascii="Arial" w:hAnsi="Arial" w:cs="Arial"/>
          <w:noProof/>
          <w:position w:val="-10"/>
          <w:sz w:val="20"/>
          <w:szCs w:val="20"/>
          <w:lang w:eastAsia="ru-RU"/>
        </w:rPr>
        <w:drawing>
          <wp:inline distT="0" distB="0" distL="0" distR="0">
            <wp:extent cx="447675" cy="257175"/>
            <wp:effectExtent l="0" t="0" r="9525"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727"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Pr>
          <w:rFonts w:ascii="Arial" w:hAnsi="Arial" w:cs="Arial"/>
          <w:sz w:val="20"/>
          <w:szCs w:val="20"/>
        </w:rPr>
        <w:t>) рассчитывается коммерческим оператором по формуле:</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43"/>
          <w:sz w:val="20"/>
          <w:szCs w:val="20"/>
          <w:lang w:eastAsia="ru-RU"/>
        </w:rPr>
        <w:drawing>
          <wp:inline distT="0" distB="0" distL="0" distR="0">
            <wp:extent cx="3152775" cy="676275"/>
            <wp:effectExtent l="0" t="0" r="9525"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728" cstate="print">
                      <a:extLst>
                        <a:ext uri="{28A0092B-C50C-407E-A947-70E740481C1C}">
                          <a14:useLocalDpi xmlns:a14="http://schemas.microsoft.com/office/drawing/2010/main" val="0"/>
                        </a:ext>
                      </a:extLst>
                    </a:blip>
                    <a:srcRect/>
                    <a:stretch>
                      <a:fillRect/>
                    </a:stretch>
                  </pic:blipFill>
                  <pic:spPr bwMode="auto">
                    <a:xfrm>
                      <a:off x="0" y="0"/>
                      <a:ext cx="3152775" cy="676275"/>
                    </a:xfrm>
                    <a:prstGeom prst="rect">
                      <a:avLst/>
                    </a:prstGeom>
                    <a:noFill/>
                    <a:ln>
                      <a:noFill/>
                    </a:ln>
                  </pic:spPr>
                </pic:pic>
              </a:graphicData>
            </a:graphic>
          </wp:inline>
        </w:drawing>
      </w:r>
      <w:r>
        <w:rPr>
          <w:rFonts w:ascii="Arial" w:hAnsi="Arial" w:cs="Arial"/>
          <w:sz w:val="20"/>
          <w:szCs w:val="20"/>
        </w:rPr>
        <w:t>, (35)</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666750" cy="257175"/>
            <wp:effectExtent l="0" t="0" r="0"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729" cstate="print">
                      <a:extLst>
                        <a:ext uri="{28A0092B-C50C-407E-A947-70E740481C1C}">
                          <a14:useLocalDpi xmlns:a14="http://schemas.microsoft.com/office/drawing/2010/main" val="0"/>
                        </a:ext>
                      </a:extLst>
                    </a:blip>
                    <a:srcRect/>
                    <a:stretch>
                      <a:fillRect/>
                    </a:stretch>
                  </pic:blipFill>
                  <pic:spPr bwMode="auto">
                    <a:xfrm>
                      <a:off x="0" y="0"/>
                      <a:ext cx="666750" cy="257175"/>
                    </a:xfrm>
                    <a:prstGeom prst="rect">
                      <a:avLst/>
                    </a:prstGeom>
                    <a:noFill/>
                    <a:ln>
                      <a:noFill/>
                    </a:ln>
                  </pic:spPr>
                </pic:pic>
              </a:graphicData>
            </a:graphic>
          </wp:inline>
        </w:drawing>
      </w:r>
      <w:r>
        <w:rPr>
          <w:rFonts w:ascii="Arial" w:hAnsi="Arial" w:cs="Arial"/>
          <w:sz w:val="20"/>
          <w:szCs w:val="20"/>
        </w:rP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419100" cy="257175"/>
            <wp:effectExtent l="0" t="0" r="0"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730"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rFonts w:ascii="Arial" w:hAnsi="Arial" w:cs="Arial"/>
          <w:sz w:val="20"/>
          <w:szCs w:val="20"/>
        </w:rP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(44), 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формула </w:t>
      </w:r>
      <w:r>
        <w:rPr>
          <w:rFonts w:ascii="Arial" w:hAnsi="Arial" w:cs="Arial"/>
          <w:noProof/>
          <w:position w:val="-2"/>
          <w:sz w:val="20"/>
          <w:szCs w:val="20"/>
          <w:lang w:eastAsia="ru-RU"/>
        </w:rPr>
        <w:drawing>
          <wp:inline distT="0" distB="0" distL="0" distR="0">
            <wp:extent cx="342900" cy="161925"/>
            <wp:effectExtent l="0" t="0" r="0"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731"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Pr>
          <w:rFonts w:ascii="Arial" w:hAnsi="Arial" w:cs="Arial"/>
          <w:sz w:val="20"/>
          <w:szCs w:val="20"/>
        </w:rPr>
        <w:t xml:space="preserve"> обозначает, что множество часов (h) расчетного периода относится к соответствующей зоне суток (z);</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276225" cy="238125"/>
            <wp:effectExtent l="0" t="0" r="9525"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732"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Pr>
          <w:rFonts w:ascii="Arial" w:hAnsi="Arial" w:cs="Arial"/>
          <w:sz w:val="20"/>
          <w:szCs w:val="20"/>
        </w:rP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lastRenderedPageBreak/>
        <w:drawing>
          <wp:inline distT="0" distB="0" distL="0" distR="0">
            <wp:extent cx="523875" cy="238125"/>
            <wp:effectExtent l="0" t="0" r="9525"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733" cstate="print">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r>
        <w:rPr>
          <w:rFonts w:ascii="Arial" w:hAnsi="Arial" w:cs="Arial"/>
          <w:sz w:val="20"/>
          <w:szCs w:val="20"/>
        </w:rP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и) </w:t>
      </w:r>
      <w:hyperlink r:id="rId1734" w:history="1">
        <w:r>
          <w:rPr>
            <w:rFonts w:ascii="Arial" w:hAnsi="Arial" w:cs="Arial"/>
            <w:color w:val="0000FF"/>
            <w:sz w:val="20"/>
            <w:szCs w:val="20"/>
          </w:rPr>
          <w:t>дополнить</w:t>
        </w:r>
      </w:hyperlink>
      <w:r>
        <w:rPr>
          <w:rFonts w:ascii="Arial" w:hAnsi="Arial" w:cs="Arial"/>
          <w:sz w:val="20"/>
          <w:szCs w:val="20"/>
        </w:rPr>
        <w:t xml:space="preserve"> пунктами 14(1) - 14(3) следующего содержания:</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"14(1). Величину дифференцированной по зонам суток расчетного периода средневзвешенной нерегулируемой цены на электрическую энергию (мощность) (</w:t>
      </w:r>
      <w:r>
        <w:rPr>
          <w:rFonts w:ascii="Arial" w:hAnsi="Arial" w:cs="Arial"/>
          <w:noProof/>
          <w:position w:val="-10"/>
          <w:sz w:val="20"/>
          <w:szCs w:val="20"/>
          <w:lang w:eastAsia="ru-RU"/>
        </w:rPr>
        <w:drawing>
          <wp:inline distT="0" distB="0" distL="0" distR="0">
            <wp:extent cx="571500" cy="257175"/>
            <wp:effectExtent l="0" t="0" r="0"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735"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Pr>
          <w:rFonts w:ascii="Arial" w:hAnsi="Arial" w:cs="Arial"/>
          <w:sz w:val="20"/>
          <w:szCs w:val="20"/>
        </w:rPr>
        <w:t>) для трех зон суток коммерческий оператор определяет по формулам, рублей/МВт·ч:</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10"/>
          <w:sz w:val="20"/>
          <w:szCs w:val="20"/>
          <w:lang w:eastAsia="ru-RU"/>
        </w:rPr>
        <w:drawing>
          <wp:inline distT="0" distB="0" distL="0" distR="0">
            <wp:extent cx="1143000" cy="25717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736" cstate="print">
                      <a:extLst>
                        <a:ext uri="{28A0092B-C50C-407E-A947-70E740481C1C}">
                          <a14:useLocalDpi xmlns:a14="http://schemas.microsoft.com/office/drawing/2010/main" val="0"/>
                        </a:ext>
                      </a:extLst>
                    </a:blip>
                    <a:srcRect/>
                    <a:stretch>
                      <a:fillRect/>
                    </a:stretch>
                  </pic:blipFill>
                  <pic:spPr bwMode="auto">
                    <a:xfrm>
                      <a:off x="0" y="0"/>
                      <a:ext cx="1143000" cy="257175"/>
                    </a:xfrm>
                    <a:prstGeom prst="rect">
                      <a:avLst/>
                    </a:prstGeom>
                    <a:noFill/>
                    <a:ln>
                      <a:noFill/>
                    </a:ln>
                  </pic:spPr>
                </pic:pic>
              </a:graphicData>
            </a:graphic>
          </wp:inline>
        </w:drawing>
      </w:r>
      <w:r>
        <w:rPr>
          <w:rFonts w:ascii="Arial" w:hAnsi="Arial" w:cs="Arial"/>
          <w:sz w:val="20"/>
          <w:szCs w:val="20"/>
        </w:rPr>
        <w:t>, (36)</w:t>
      </w:r>
    </w:p>
    <w:p w:rsidR="009F5AFE" w:rsidRDefault="009F5AFE" w:rsidP="009F5AFE">
      <w:pPr>
        <w:autoSpaceDE w:val="0"/>
        <w:autoSpaceDN w:val="0"/>
        <w:adjustRightInd w:val="0"/>
        <w:spacing w:after="0" w:line="240" w:lineRule="auto"/>
        <w:jc w:val="center"/>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37"/>
          <w:sz w:val="20"/>
          <w:szCs w:val="20"/>
          <w:lang w:eastAsia="ru-RU"/>
        </w:rPr>
        <w:drawing>
          <wp:inline distT="0" distB="0" distL="0" distR="0">
            <wp:extent cx="2981325" cy="60960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737" cstate="print">
                      <a:extLst>
                        <a:ext uri="{28A0092B-C50C-407E-A947-70E740481C1C}">
                          <a14:useLocalDpi xmlns:a14="http://schemas.microsoft.com/office/drawing/2010/main" val="0"/>
                        </a:ext>
                      </a:extLst>
                    </a:blip>
                    <a:srcRect/>
                    <a:stretch>
                      <a:fillRect/>
                    </a:stretch>
                  </pic:blipFill>
                  <pic:spPr bwMode="auto">
                    <a:xfrm>
                      <a:off x="0" y="0"/>
                      <a:ext cx="2981325" cy="609600"/>
                    </a:xfrm>
                    <a:prstGeom prst="rect">
                      <a:avLst/>
                    </a:prstGeom>
                    <a:noFill/>
                    <a:ln>
                      <a:noFill/>
                    </a:ln>
                  </pic:spPr>
                </pic:pic>
              </a:graphicData>
            </a:graphic>
          </wp:inline>
        </w:drawing>
      </w:r>
      <w:r>
        <w:rPr>
          <w:rFonts w:ascii="Arial" w:hAnsi="Arial" w:cs="Arial"/>
          <w:sz w:val="20"/>
          <w:szCs w:val="20"/>
        </w:rPr>
        <w:t>, (37)</w:t>
      </w:r>
    </w:p>
    <w:p w:rsidR="009F5AFE" w:rsidRDefault="009F5AFE" w:rsidP="009F5AFE">
      <w:pPr>
        <w:autoSpaceDE w:val="0"/>
        <w:autoSpaceDN w:val="0"/>
        <w:adjustRightInd w:val="0"/>
        <w:spacing w:after="0" w:line="240" w:lineRule="auto"/>
        <w:jc w:val="center"/>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42"/>
          <w:sz w:val="20"/>
          <w:szCs w:val="20"/>
          <w:lang w:eastAsia="ru-RU"/>
        </w:rPr>
        <w:drawing>
          <wp:inline distT="0" distB="0" distL="0" distR="0">
            <wp:extent cx="4105275" cy="65722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738" cstate="print">
                      <a:extLst>
                        <a:ext uri="{28A0092B-C50C-407E-A947-70E740481C1C}">
                          <a14:useLocalDpi xmlns:a14="http://schemas.microsoft.com/office/drawing/2010/main" val="0"/>
                        </a:ext>
                      </a:extLst>
                    </a:blip>
                    <a:srcRect/>
                    <a:stretch>
                      <a:fillRect/>
                    </a:stretch>
                  </pic:blipFill>
                  <pic:spPr bwMode="auto">
                    <a:xfrm>
                      <a:off x="0" y="0"/>
                      <a:ext cx="4105275" cy="657225"/>
                    </a:xfrm>
                    <a:prstGeom prst="rect">
                      <a:avLst/>
                    </a:prstGeom>
                    <a:noFill/>
                    <a:ln>
                      <a:noFill/>
                    </a:ln>
                  </pic:spPr>
                </pic:pic>
              </a:graphicData>
            </a:graphic>
          </wp:inline>
        </w:drawing>
      </w:r>
      <w:r>
        <w:rPr>
          <w:rFonts w:ascii="Arial" w:hAnsi="Arial" w:cs="Arial"/>
          <w:sz w:val="20"/>
          <w:szCs w:val="20"/>
        </w:rPr>
        <w:t>, (38)</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571500" cy="25717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739"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Pr>
          <w:rFonts w:ascii="Arial" w:hAnsi="Arial" w:cs="Arial"/>
          <w:sz w:val="20"/>
          <w:szCs w:val="20"/>
        </w:rPr>
        <w:t xml:space="preserve"> - средневзвешенная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оператором по формуле (36),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447675" cy="25717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Pr>
          <w:rFonts w:ascii="Arial" w:hAnsi="Arial" w:cs="Arial"/>
          <w:sz w:val="20"/>
          <w:szCs w:val="20"/>
        </w:rPr>
        <w:t xml:space="preserve"> - средневзвешенная нерегулируемая цена на электрическую энергию на оптовом рынке в ночной зоне суток расчетного периода (m), рассчитанная коммерческим оператором по формуле (35),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571500" cy="25717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741"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Pr>
          <w:rFonts w:ascii="Arial" w:hAnsi="Arial" w:cs="Arial"/>
          <w:sz w:val="20"/>
          <w:szCs w:val="20"/>
        </w:rPr>
        <w:t xml:space="preserve"> - средневзвешенная нерегулируемая цена на электрическую энергию (мощность) на оптовом рынке в полупиковой зоне суток расчетного периода (m), рассчитанная коммерческим оператором по формуле (37),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447675" cy="257175"/>
            <wp:effectExtent l="0" t="0" r="9525"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Pr>
          <w:rFonts w:ascii="Arial" w:hAnsi="Arial" w:cs="Arial"/>
          <w:sz w:val="20"/>
          <w:szCs w:val="20"/>
        </w:rPr>
        <w:t xml:space="preserve"> - средневзвешенная нерегулируемая цена на электрическую энергию на оптовом рынке в полупиковой зоне суток расчетного периода (m), рассчитанная коммерческим оператором по формуле (35),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495300" cy="23812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743"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Pr>
          <w:rFonts w:ascii="Arial" w:hAnsi="Arial" w:cs="Arial"/>
          <w:sz w:val="20"/>
          <w:szCs w:val="20"/>
        </w:rP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304800" cy="238125"/>
            <wp:effectExtent l="0" t="0" r="0"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744"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Pr>
          <w:rFonts w:ascii="Arial" w:hAnsi="Arial" w:cs="Arial"/>
          <w:sz w:val="20"/>
          <w:szCs w:val="20"/>
        </w:rPr>
        <w:t xml:space="preserve"> - объем фактического пикового потребления гарантирующего поставщика на оптовом рынке, рассчитываемый коммерческим оператором для расчетного периода (m) в соответствии с </w:t>
      </w:r>
      <w:hyperlink r:id="rId1745" w:history="1">
        <w:r>
          <w:rPr>
            <w:rFonts w:ascii="Arial" w:hAnsi="Arial" w:cs="Arial"/>
            <w:color w:val="0000FF"/>
            <w:sz w:val="20"/>
            <w:szCs w:val="20"/>
          </w:rPr>
          <w:t>Правилами</w:t>
        </w:r>
      </w:hyperlink>
      <w:r>
        <w:rPr>
          <w:rFonts w:ascii="Arial" w:hAnsi="Arial" w:cs="Arial"/>
          <w:sz w:val="20"/>
          <w:szCs w:val="20"/>
        </w:rPr>
        <w:t xml:space="preserve"> оптового рынка электрической энергии и мощности, 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695325" cy="238125"/>
            <wp:effectExtent l="0" t="0" r="952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746"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Pr>
          <w:rFonts w:ascii="Arial" w:hAnsi="Arial" w:cs="Arial"/>
          <w:sz w:val="20"/>
          <w:szCs w:val="20"/>
        </w:rPr>
        <w:t xml:space="preserve"> - объем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w:t>
      </w:r>
      <w:r>
        <w:rPr>
          <w:rFonts w:ascii="Arial" w:hAnsi="Arial" w:cs="Arial"/>
          <w:sz w:val="20"/>
          <w:szCs w:val="20"/>
        </w:rPr>
        <w:lastRenderedPageBreak/>
        <w:t xml:space="preserve">категориями потребителей, в соответствии с </w:t>
      </w:r>
      <w:hyperlink r:id="rId1747" w:history="1">
        <w:r>
          <w:rPr>
            <w:rFonts w:ascii="Arial" w:hAnsi="Arial" w:cs="Arial"/>
            <w:color w:val="0000FF"/>
            <w:sz w:val="20"/>
            <w:szCs w:val="20"/>
          </w:rPr>
          <w:t>Правилами</w:t>
        </w:r>
      </w:hyperlink>
      <w:r>
        <w:rPr>
          <w:rFonts w:ascii="Arial" w:hAnsi="Arial" w:cs="Arial"/>
          <w:sz w:val="20"/>
          <w:szCs w:val="20"/>
        </w:rPr>
        <w:t xml:space="preserve"> оптового рынка электрической энергии и мощности, 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04800" cy="257175"/>
            <wp:effectExtent l="0" t="0" r="0"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748"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Pr>
          <w:rFonts w:ascii="Arial" w:hAnsi="Arial" w:cs="Arial"/>
          <w:sz w:val="20"/>
          <w:szCs w:val="20"/>
        </w:rPr>
        <w:t xml:space="preserve"> - фактический объем покупки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(50), 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H - множество часов (h) в расчетном периоде (m);</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571500" cy="25717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749"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Pr>
          <w:rFonts w:ascii="Arial" w:hAnsi="Arial" w:cs="Arial"/>
          <w:sz w:val="20"/>
          <w:szCs w:val="20"/>
        </w:rPr>
        <w:t xml:space="preserve"> - средневзвешенная нерегулируемая цена на электрическую энергию (мощность) на оптовом рынке в пиковой зоне суток расчетного периода (m), рассчитанная коммерческим оператором по формуле (38),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866775" cy="238125"/>
            <wp:effectExtent l="0" t="0" r="952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750" cstate="print">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Pr>
          <w:rFonts w:ascii="Arial" w:hAnsi="Arial" w:cs="Arial"/>
          <w:sz w:val="20"/>
          <w:szCs w:val="20"/>
        </w:rPr>
        <w:t xml:space="preserve"> - средневзвешенная нерегулируемая цена на электрическую энергию (мощность) на оптовом рынке за расчетный период (m), рассчитываемая коммерческим оператором оптового рынка по формуле (39),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7"/>
          <w:sz w:val="20"/>
          <w:szCs w:val="20"/>
          <w:lang w:eastAsia="ru-RU"/>
        </w:rPr>
        <w:drawing>
          <wp:inline distT="0" distB="0" distL="0" distR="0">
            <wp:extent cx="219075" cy="228600"/>
            <wp:effectExtent l="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751"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rFonts w:ascii="Arial" w:hAnsi="Arial" w:cs="Arial"/>
          <w:sz w:val="20"/>
          <w:szCs w:val="20"/>
        </w:rPr>
        <w:t xml:space="preserve"> - множество часов (h) расчетного периода (m), относящихся к ночной зоне суток;</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7"/>
          <w:sz w:val="20"/>
          <w:szCs w:val="20"/>
          <w:lang w:eastAsia="ru-RU"/>
        </w:rPr>
        <w:drawing>
          <wp:inline distT="0" distB="0" distL="0" distR="0">
            <wp:extent cx="276225" cy="22860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752"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Pr>
          <w:rFonts w:ascii="Arial" w:hAnsi="Arial" w:cs="Arial"/>
          <w:sz w:val="20"/>
          <w:szCs w:val="20"/>
        </w:rPr>
        <w:t xml:space="preserve"> - множество часов (h) расчетного периода (m), относящихся к полупиковой зоне суток;</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7"/>
          <w:sz w:val="20"/>
          <w:szCs w:val="20"/>
          <w:lang w:eastAsia="ru-RU"/>
        </w:rPr>
        <w:drawing>
          <wp:inline distT="0" distB="0" distL="0" distR="0">
            <wp:extent cx="219075" cy="22860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753"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rFonts w:ascii="Arial" w:hAnsi="Arial" w:cs="Arial"/>
          <w:sz w:val="20"/>
          <w:szCs w:val="20"/>
        </w:rPr>
        <w:t xml:space="preserve"> - множество часов (h) расчетного периода (m), относящихся к пиковой зоне суток.</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14(2). Средневзвешенная нерегулируемая цена на электрическую энергию (мощность) на оптовом рынке в расчетном периоде (m) рассчитывается коммерческим оператором оптового рынка по формуле, рублей/МВт·ч:</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2438400" cy="238125"/>
            <wp:effectExtent l="0" t="0" r="0"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754" cstate="print">
                      <a:extLst>
                        <a:ext uri="{28A0092B-C50C-407E-A947-70E740481C1C}">
                          <a14:useLocalDpi xmlns:a14="http://schemas.microsoft.com/office/drawing/2010/main" val="0"/>
                        </a:ext>
                      </a:extLst>
                    </a:blip>
                    <a:srcRect/>
                    <a:stretch>
                      <a:fillRect/>
                    </a:stretch>
                  </pic:blipFill>
                  <pic:spPr bwMode="auto">
                    <a:xfrm>
                      <a:off x="0" y="0"/>
                      <a:ext cx="2438400" cy="238125"/>
                    </a:xfrm>
                    <a:prstGeom prst="rect">
                      <a:avLst/>
                    </a:prstGeom>
                    <a:noFill/>
                    <a:ln>
                      <a:noFill/>
                    </a:ln>
                  </pic:spPr>
                </pic:pic>
              </a:graphicData>
            </a:graphic>
          </wp:inline>
        </w:drawing>
      </w:r>
      <w:r>
        <w:rPr>
          <w:rFonts w:ascii="Arial" w:hAnsi="Arial" w:cs="Arial"/>
          <w:sz w:val="20"/>
          <w:szCs w:val="20"/>
        </w:rPr>
        <w:t>, (39)</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447675" cy="238125"/>
            <wp:effectExtent l="0" t="0" r="9525"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755" cstate="print">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Pr>
          <w:rFonts w:ascii="Arial" w:hAnsi="Arial" w:cs="Arial"/>
          <w:sz w:val="20"/>
          <w:szCs w:val="20"/>
        </w:rPr>
        <w:t xml:space="preserve"> - средневзвешенная нерегулируемая цена на электрическую энергию на оптовом рынке в отношении расчетного периода (m), рассчитываемая коммерческим оператором оптового рынка по формуле (42),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495300" cy="23812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756"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Pr>
          <w:rFonts w:ascii="Arial" w:hAnsi="Arial" w:cs="Arial"/>
          <w:sz w:val="20"/>
          <w:szCs w:val="20"/>
        </w:rP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6"/>
          <w:sz w:val="20"/>
          <w:szCs w:val="20"/>
          <w:lang w:eastAsia="ru-RU"/>
        </w:rPr>
        <w:drawing>
          <wp:inline distT="0" distB="0" distL="0" distR="0">
            <wp:extent cx="419100" cy="2095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757"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Pr>
          <w:rFonts w:ascii="Arial" w:hAnsi="Arial" w:cs="Arial"/>
          <w:sz w:val="20"/>
          <w:szCs w:val="20"/>
        </w:rPr>
        <w:t xml:space="preserve"> - коэффициент оплаты мощности, равный 0,002666, 1/ч.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14(3). Величину дифференцированной по зонам суток расчетного периода средневзвешенной нерегулируемой цены на электрическую энергию (мощность) (</w:t>
      </w:r>
      <w:r>
        <w:rPr>
          <w:rFonts w:ascii="Arial" w:hAnsi="Arial" w:cs="Arial"/>
          <w:noProof/>
          <w:position w:val="-10"/>
          <w:sz w:val="20"/>
          <w:szCs w:val="20"/>
          <w:lang w:eastAsia="ru-RU"/>
        </w:rPr>
        <w:drawing>
          <wp:inline distT="0" distB="0" distL="0" distR="0">
            <wp:extent cx="561975" cy="257175"/>
            <wp:effectExtent l="0" t="0" r="9525"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758"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Pr>
          <w:rFonts w:ascii="Arial" w:hAnsi="Arial" w:cs="Arial"/>
          <w:sz w:val="20"/>
          <w:szCs w:val="20"/>
        </w:rPr>
        <w:t>) для двух зон суток коммерческий оператор определяет по формулам, рублей/МВт·ч:</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10"/>
          <w:sz w:val="20"/>
          <w:szCs w:val="20"/>
          <w:lang w:eastAsia="ru-RU"/>
        </w:rPr>
        <w:drawing>
          <wp:inline distT="0" distB="0" distL="0" distR="0">
            <wp:extent cx="1143000" cy="25717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759" cstate="print">
                      <a:extLst>
                        <a:ext uri="{28A0092B-C50C-407E-A947-70E740481C1C}">
                          <a14:useLocalDpi xmlns:a14="http://schemas.microsoft.com/office/drawing/2010/main" val="0"/>
                        </a:ext>
                      </a:extLst>
                    </a:blip>
                    <a:srcRect/>
                    <a:stretch>
                      <a:fillRect/>
                    </a:stretch>
                  </pic:blipFill>
                  <pic:spPr bwMode="auto">
                    <a:xfrm>
                      <a:off x="0" y="0"/>
                      <a:ext cx="1143000" cy="257175"/>
                    </a:xfrm>
                    <a:prstGeom prst="rect">
                      <a:avLst/>
                    </a:prstGeom>
                    <a:noFill/>
                    <a:ln>
                      <a:noFill/>
                    </a:ln>
                  </pic:spPr>
                </pic:pic>
              </a:graphicData>
            </a:graphic>
          </wp:inline>
        </w:drawing>
      </w:r>
      <w:r>
        <w:rPr>
          <w:rFonts w:ascii="Arial" w:hAnsi="Arial" w:cs="Arial"/>
          <w:sz w:val="20"/>
          <w:szCs w:val="20"/>
        </w:rPr>
        <w:t>, (40)</w:t>
      </w:r>
    </w:p>
    <w:p w:rsidR="009F5AFE" w:rsidRDefault="009F5AFE" w:rsidP="009F5AFE">
      <w:pPr>
        <w:autoSpaceDE w:val="0"/>
        <w:autoSpaceDN w:val="0"/>
        <w:adjustRightInd w:val="0"/>
        <w:spacing w:after="0" w:line="240" w:lineRule="auto"/>
        <w:jc w:val="center"/>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42"/>
          <w:sz w:val="20"/>
          <w:szCs w:val="20"/>
          <w:lang w:eastAsia="ru-RU"/>
        </w:rPr>
        <w:drawing>
          <wp:inline distT="0" distB="0" distL="0" distR="0">
            <wp:extent cx="3343275" cy="666750"/>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760" cstate="print">
                      <a:extLst>
                        <a:ext uri="{28A0092B-C50C-407E-A947-70E740481C1C}">
                          <a14:useLocalDpi xmlns:a14="http://schemas.microsoft.com/office/drawing/2010/main" val="0"/>
                        </a:ext>
                      </a:extLst>
                    </a:blip>
                    <a:srcRect/>
                    <a:stretch>
                      <a:fillRect/>
                    </a:stretch>
                  </pic:blipFill>
                  <pic:spPr bwMode="auto">
                    <a:xfrm>
                      <a:off x="0" y="0"/>
                      <a:ext cx="3343275" cy="666750"/>
                    </a:xfrm>
                    <a:prstGeom prst="rect">
                      <a:avLst/>
                    </a:prstGeom>
                    <a:noFill/>
                    <a:ln>
                      <a:noFill/>
                    </a:ln>
                  </pic:spPr>
                </pic:pic>
              </a:graphicData>
            </a:graphic>
          </wp:inline>
        </w:drawing>
      </w:r>
      <w:r>
        <w:rPr>
          <w:rFonts w:ascii="Arial" w:hAnsi="Arial" w:cs="Arial"/>
          <w:sz w:val="20"/>
          <w:szCs w:val="20"/>
        </w:rPr>
        <w:t>, (41)</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571500" cy="25717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761"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Pr>
          <w:rFonts w:ascii="Arial" w:hAnsi="Arial" w:cs="Arial"/>
          <w:sz w:val="20"/>
          <w:szCs w:val="20"/>
        </w:rPr>
        <w:t xml:space="preserve"> - средневзвешенная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оператором по формуле (40),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447675" cy="25717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762"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Pr>
          <w:rFonts w:ascii="Arial" w:hAnsi="Arial" w:cs="Arial"/>
          <w:sz w:val="20"/>
          <w:szCs w:val="20"/>
        </w:rPr>
        <w:t xml:space="preserve"> - средневзвешенная нерегулируемая цена на электрическую энергию на оптовом рынке в ночной зоне суток расчетного периода (m), определяемая коммерческим оператором по формуле (35),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571500" cy="25717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763"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Pr>
          <w:rFonts w:ascii="Arial" w:hAnsi="Arial" w:cs="Arial"/>
          <w:sz w:val="20"/>
          <w:szCs w:val="20"/>
        </w:rPr>
        <w:t xml:space="preserve"> - средневзвешенная нерегулируемая цена на электрическую энергию (мощность) на оптовом рынке в пиковой (дневной) зоне суток расчетного периода (m), рассчитанная коммерческим оператором по формуле (41),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866775" cy="23812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764" cstate="print">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Pr>
          <w:rFonts w:ascii="Arial" w:hAnsi="Arial" w:cs="Arial"/>
          <w:sz w:val="20"/>
          <w:szCs w:val="20"/>
        </w:rPr>
        <w:t xml:space="preserve"> - средневзвешенная нерегулируемая цена на электрическую энергию (мощность) на оптовом рынке за расчетный период (m), рассчитываемая коммерческим оператором оптового рынка по формуле (39),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H - множество часов (h) в расчетном периоде (m);</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Zн - множество часов (h) расчетного периода (m), относящихся к ночной зоне суток;</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Zд - множество часов (h) расчетного периода (m), относящихся к пиковой (дневной) зоне суток;</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04800" cy="25717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765"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Pr>
          <w:rFonts w:ascii="Arial" w:hAnsi="Arial" w:cs="Arial"/>
          <w:sz w:val="20"/>
          <w:szCs w:val="20"/>
        </w:rPr>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(50), 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к) </w:t>
      </w:r>
      <w:hyperlink r:id="rId1766" w:history="1">
        <w:r>
          <w:rPr>
            <w:rFonts w:ascii="Arial" w:hAnsi="Arial" w:cs="Arial"/>
            <w:color w:val="0000FF"/>
            <w:sz w:val="20"/>
            <w:szCs w:val="20"/>
          </w:rPr>
          <w:t>пункты 15</w:t>
        </w:r>
      </w:hyperlink>
      <w:r>
        <w:rPr>
          <w:rFonts w:ascii="Arial" w:hAnsi="Arial" w:cs="Arial"/>
          <w:sz w:val="20"/>
          <w:szCs w:val="20"/>
        </w:rPr>
        <w:t xml:space="preserve"> - </w:t>
      </w:r>
      <w:hyperlink r:id="rId1767" w:history="1">
        <w:r>
          <w:rPr>
            <w:rFonts w:ascii="Arial" w:hAnsi="Arial" w:cs="Arial"/>
            <w:color w:val="0000FF"/>
            <w:sz w:val="20"/>
            <w:szCs w:val="20"/>
          </w:rPr>
          <w:t>23</w:t>
        </w:r>
      </w:hyperlink>
      <w:r>
        <w:rPr>
          <w:rFonts w:ascii="Arial" w:hAnsi="Arial" w:cs="Arial"/>
          <w:sz w:val="20"/>
          <w:szCs w:val="20"/>
        </w:rPr>
        <w:t xml:space="preserve"> изложить в следующей редакции:</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"15. Средневзвешенная нерегулируемая цена на электрическую энергию на оптовом рынке, определяемая для соответствующего расчетного периода (m) по результатам конкурентных отборов на сутки вперед и для балансирования системы (</w:t>
      </w:r>
      <w:r>
        <w:rPr>
          <w:rFonts w:ascii="Arial" w:hAnsi="Arial" w:cs="Arial"/>
          <w:noProof/>
          <w:position w:val="-9"/>
          <w:sz w:val="20"/>
          <w:szCs w:val="20"/>
          <w:lang w:eastAsia="ru-RU"/>
        </w:rPr>
        <w:drawing>
          <wp:inline distT="0" distB="0" distL="0" distR="0">
            <wp:extent cx="447675" cy="238125"/>
            <wp:effectExtent l="0" t="0" r="952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768" cstate="print">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Pr>
          <w:rFonts w:ascii="Arial" w:hAnsi="Arial" w:cs="Arial"/>
          <w:sz w:val="20"/>
          <w:szCs w:val="20"/>
        </w:rPr>
        <w:t>), рассчитывается коммерческим оператором оптового рынка по формулам:</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2219325" cy="23812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769" cstate="print">
                      <a:extLst>
                        <a:ext uri="{28A0092B-C50C-407E-A947-70E740481C1C}">
                          <a14:useLocalDpi xmlns:a14="http://schemas.microsoft.com/office/drawing/2010/main" val="0"/>
                        </a:ext>
                      </a:extLst>
                    </a:blip>
                    <a:srcRect/>
                    <a:stretch>
                      <a:fillRect/>
                    </a:stretch>
                  </pic:blipFill>
                  <pic:spPr bwMode="auto">
                    <a:xfrm>
                      <a:off x="0" y="0"/>
                      <a:ext cx="2219325" cy="238125"/>
                    </a:xfrm>
                    <a:prstGeom prst="rect">
                      <a:avLst/>
                    </a:prstGeom>
                    <a:noFill/>
                    <a:ln>
                      <a:noFill/>
                    </a:ln>
                  </pic:spPr>
                </pic:pic>
              </a:graphicData>
            </a:graphic>
          </wp:inline>
        </w:drawing>
      </w:r>
      <w:r>
        <w:rPr>
          <w:rFonts w:ascii="Arial" w:hAnsi="Arial" w:cs="Arial"/>
          <w:sz w:val="20"/>
          <w:szCs w:val="20"/>
        </w:rPr>
        <w:t>, (42)</w:t>
      </w:r>
    </w:p>
    <w:p w:rsidR="009F5AFE" w:rsidRDefault="009F5AFE" w:rsidP="009F5AFE">
      <w:pPr>
        <w:autoSpaceDE w:val="0"/>
        <w:autoSpaceDN w:val="0"/>
        <w:adjustRightInd w:val="0"/>
        <w:spacing w:after="0" w:line="240" w:lineRule="auto"/>
        <w:jc w:val="center"/>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43"/>
          <w:sz w:val="20"/>
          <w:szCs w:val="20"/>
          <w:lang w:eastAsia="ru-RU"/>
        </w:rPr>
        <w:drawing>
          <wp:inline distT="0" distB="0" distL="0" distR="0">
            <wp:extent cx="1828800" cy="67627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770" cstate="print">
                      <a:extLst>
                        <a:ext uri="{28A0092B-C50C-407E-A947-70E740481C1C}">
                          <a14:useLocalDpi xmlns:a14="http://schemas.microsoft.com/office/drawing/2010/main" val="0"/>
                        </a:ext>
                      </a:extLst>
                    </a:blip>
                    <a:srcRect/>
                    <a:stretch>
                      <a:fillRect/>
                    </a:stretch>
                  </pic:blipFill>
                  <pic:spPr bwMode="auto">
                    <a:xfrm>
                      <a:off x="0" y="0"/>
                      <a:ext cx="1828800" cy="676275"/>
                    </a:xfrm>
                    <a:prstGeom prst="rect">
                      <a:avLst/>
                    </a:prstGeom>
                    <a:noFill/>
                    <a:ln>
                      <a:noFill/>
                    </a:ln>
                  </pic:spPr>
                </pic:pic>
              </a:graphicData>
            </a:graphic>
          </wp:inline>
        </w:drawing>
      </w:r>
      <w:r>
        <w:rPr>
          <w:rFonts w:ascii="Arial" w:hAnsi="Arial" w:cs="Arial"/>
          <w:sz w:val="20"/>
          <w:szCs w:val="20"/>
        </w:rPr>
        <w:t>, (43)</w:t>
      </w:r>
    </w:p>
    <w:p w:rsidR="009F5AFE" w:rsidRDefault="009F5AFE" w:rsidP="009F5AFE">
      <w:pPr>
        <w:autoSpaceDE w:val="0"/>
        <w:autoSpaceDN w:val="0"/>
        <w:adjustRightInd w:val="0"/>
        <w:spacing w:after="0" w:line="240" w:lineRule="auto"/>
        <w:jc w:val="center"/>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12"/>
          <w:sz w:val="20"/>
          <w:szCs w:val="20"/>
          <w:lang w:eastAsia="ru-RU"/>
        </w:rPr>
        <w:drawing>
          <wp:inline distT="0" distB="0" distL="0" distR="0">
            <wp:extent cx="2162175" cy="276225"/>
            <wp:effectExtent l="0" t="0" r="9525"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771" cstate="print">
                      <a:extLst>
                        <a:ext uri="{28A0092B-C50C-407E-A947-70E740481C1C}">
                          <a14:useLocalDpi xmlns:a14="http://schemas.microsoft.com/office/drawing/2010/main" val="0"/>
                        </a:ext>
                      </a:extLst>
                    </a:blip>
                    <a:srcRect/>
                    <a:stretch>
                      <a:fillRect/>
                    </a:stretch>
                  </pic:blipFill>
                  <pic:spPr bwMode="auto">
                    <a:xfrm>
                      <a:off x="0" y="0"/>
                      <a:ext cx="2162175" cy="276225"/>
                    </a:xfrm>
                    <a:prstGeom prst="rect">
                      <a:avLst/>
                    </a:prstGeom>
                    <a:noFill/>
                    <a:ln>
                      <a:noFill/>
                    </a:ln>
                  </pic:spPr>
                </pic:pic>
              </a:graphicData>
            </a:graphic>
          </wp:inline>
        </w:drawing>
      </w:r>
      <w:r>
        <w:rPr>
          <w:rFonts w:ascii="Arial" w:hAnsi="Arial" w:cs="Arial"/>
          <w:sz w:val="20"/>
          <w:szCs w:val="20"/>
        </w:rPr>
        <w:t>, (44)</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342900" cy="23812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772" cstate="print">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Pr>
          <w:rFonts w:ascii="Arial" w:hAnsi="Arial" w:cs="Arial"/>
          <w:sz w:val="20"/>
          <w:szCs w:val="20"/>
        </w:rPr>
        <w:t xml:space="preserve"> - средневзвешенная цена на электрическую энергию, рассчитанная коммерческим оператором по формуле (43) исходя из цен, определенных по результатам конкурентного отбора ценовых заявок на сутки вперед и стоимости покупки (продажи) в отношении объемов электрической энергии по регулируемым договорам (если гарантирующий поставщик относится к числу покупателей электрической энергии (мощности), функционирующих в отдельных частях ценовых зон оптового рынка, для которых </w:t>
      </w:r>
      <w:r>
        <w:rPr>
          <w:rFonts w:ascii="Arial" w:hAnsi="Arial" w:cs="Arial"/>
          <w:sz w:val="20"/>
          <w:szCs w:val="20"/>
        </w:rPr>
        <w:lastRenderedPageBreak/>
        <w:t>Правительством Российской Федерации установлены особенности функционирования оптового и розничных рынков), для расчетного периода (m),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276225" cy="23812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773"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Pr>
          <w:rFonts w:ascii="Arial" w:hAnsi="Arial" w:cs="Arial"/>
          <w:sz w:val="20"/>
          <w:szCs w:val="20"/>
        </w:rP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523875" cy="23812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774" cstate="print">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r>
        <w:rPr>
          <w:rFonts w:ascii="Arial" w:hAnsi="Arial" w:cs="Arial"/>
          <w:sz w:val="20"/>
          <w:szCs w:val="20"/>
        </w:rP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H - множество часов (h) в расчетном периоде (m);</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666750" cy="25717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775" cstate="print">
                      <a:extLst>
                        <a:ext uri="{28A0092B-C50C-407E-A947-70E740481C1C}">
                          <a14:useLocalDpi xmlns:a14="http://schemas.microsoft.com/office/drawing/2010/main" val="0"/>
                        </a:ext>
                      </a:extLst>
                    </a:blip>
                    <a:srcRect/>
                    <a:stretch>
                      <a:fillRect/>
                    </a:stretch>
                  </pic:blipFill>
                  <pic:spPr bwMode="auto">
                    <a:xfrm>
                      <a:off x="0" y="0"/>
                      <a:ext cx="666750" cy="257175"/>
                    </a:xfrm>
                    <a:prstGeom prst="rect">
                      <a:avLst/>
                    </a:prstGeom>
                    <a:noFill/>
                    <a:ln>
                      <a:noFill/>
                    </a:ln>
                  </pic:spPr>
                </pic:pic>
              </a:graphicData>
            </a:graphic>
          </wp:inline>
        </w:drawing>
      </w:r>
      <w:r>
        <w:rPr>
          <w:rFonts w:ascii="Arial" w:hAnsi="Arial" w:cs="Arial"/>
          <w:sz w:val="20"/>
          <w:szCs w:val="20"/>
        </w:rP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419100" cy="25717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776"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rFonts w:ascii="Arial" w:hAnsi="Arial" w:cs="Arial"/>
          <w:sz w:val="20"/>
          <w:szCs w:val="20"/>
        </w:rP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 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52425" cy="25717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777"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Pr>
          <w:rFonts w:ascii="Arial" w:hAnsi="Arial" w:cs="Arial"/>
          <w:sz w:val="20"/>
          <w:szCs w:val="20"/>
        </w:rPr>
        <w:t xml:space="preserve"> - плановое почасовое потребление электрической энергии гарантирующим поставщиком по результатам конкурентного отбора ценовых заявок на сутки вперед для часа (h) расчетного периода (m), сформированное коммерческим оператором в соответствии с </w:t>
      </w:r>
      <w:hyperlink r:id="rId1778" w:history="1">
        <w:r>
          <w:rPr>
            <w:rFonts w:ascii="Arial" w:hAnsi="Arial" w:cs="Arial"/>
            <w:color w:val="0000FF"/>
            <w:sz w:val="20"/>
            <w:szCs w:val="20"/>
          </w:rPr>
          <w:t>Правилами</w:t>
        </w:r>
      </w:hyperlink>
      <w:r>
        <w:rPr>
          <w:rFonts w:ascii="Arial" w:hAnsi="Arial" w:cs="Arial"/>
          <w:sz w:val="20"/>
          <w:szCs w:val="20"/>
        </w:rPr>
        <w:t xml:space="preserve"> оптового рынка электрической энергии и мощности, 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704850" cy="25717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779" cstate="print">
                      <a:extLst>
                        <a:ext uri="{28A0092B-C50C-407E-A947-70E740481C1C}">
                          <a14:useLocalDpi xmlns:a14="http://schemas.microsoft.com/office/drawing/2010/main" val="0"/>
                        </a:ext>
                      </a:extLst>
                    </a:blip>
                    <a:srcRect/>
                    <a:stretch>
                      <a:fillRect/>
                    </a:stretch>
                  </pic:blipFill>
                  <pic:spPr bwMode="auto">
                    <a:xfrm>
                      <a:off x="0" y="0"/>
                      <a:ext cx="704850" cy="257175"/>
                    </a:xfrm>
                    <a:prstGeom prst="rect">
                      <a:avLst/>
                    </a:prstGeom>
                    <a:noFill/>
                    <a:ln>
                      <a:noFill/>
                    </a:ln>
                  </pic:spPr>
                </pic:pic>
              </a:graphicData>
            </a:graphic>
          </wp:inline>
        </w:drawing>
      </w:r>
      <w:r>
        <w:rPr>
          <w:rFonts w:ascii="Arial" w:hAnsi="Arial" w:cs="Arial"/>
          <w:sz w:val="20"/>
          <w:szCs w:val="20"/>
        </w:rP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рассчитанный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16.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каждого часа (h) соответствующего расчетного периода (m) (</w:t>
      </w:r>
      <w:r>
        <w:rPr>
          <w:rFonts w:ascii="Arial" w:hAnsi="Arial" w:cs="Arial"/>
          <w:noProof/>
          <w:position w:val="-10"/>
          <w:sz w:val="20"/>
          <w:szCs w:val="20"/>
          <w:lang w:eastAsia="ru-RU"/>
        </w:rPr>
        <w:drawing>
          <wp:inline distT="0" distB="0" distL="0" distR="0">
            <wp:extent cx="676275" cy="25717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780"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Pr>
          <w:rFonts w:ascii="Arial" w:hAnsi="Arial" w:cs="Arial"/>
          <w:sz w:val="20"/>
          <w:szCs w:val="20"/>
        </w:rPr>
        <w:t>) рассчитывается коммерческим оператором оптового рынка по формулам:</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0"/>
          <w:sz w:val="20"/>
          <w:szCs w:val="20"/>
          <w:lang w:eastAsia="ru-RU"/>
        </w:rPr>
        <w:drawing>
          <wp:inline distT="0" distB="0" distL="0" distR="0">
            <wp:extent cx="3543300" cy="126682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781" cstate="print">
                      <a:extLst>
                        <a:ext uri="{28A0092B-C50C-407E-A947-70E740481C1C}">
                          <a14:useLocalDpi xmlns:a14="http://schemas.microsoft.com/office/drawing/2010/main" val="0"/>
                        </a:ext>
                      </a:extLst>
                    </a:blip>
                    <a:srcRect/>
                    <a:stretch>
                      <a:fillRect/>
                    </a:stretch>
                  </pic:blipFill>
                  <pic:spPr bwMode="auto">
                    <a:xfrm>
                      <a:off x="0" y="0"/>
                      <a:ext cx="3543300" cy="1266825"/>
                    </a:xfrm>
                    <a:prstGeom prst="rect">
                      <a:avLst/>
                    </a:prstGeom>
                    <a:noFill/>
                    <a:ln>
                      <a:noFill/>
                    </a:ln>
                  </pic:spPr>
                </pic:pic>
              </a:graphicData>
            </a:graphic>
          </wp:inline>
        </w:drawing>
      </w:r>
      <w:r>
        <w:rPr>
          <w:rFonts w:ascii="Arial" w:hAnsi="Arial" w:cs="Arial"/>
          <w:sz w:val="20"/>
          <w:szCs w:val="20"/>
        </w:rPr>
        <w:t>, (45)</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12"/>
          <w:sz w:val="20"/>
          <w:szCs w:val="20"/>
          <w:lang w:eastAsia="ru-RU"/>
        </w:rPr>
        <w:drawing>
          <wp:inline distT="0" distB="0" distL="0" distR="0">
            <wp:extent cx="2486025" cy="27622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782" cstate="print">
                      <a:extLst>
                        <a:ext uri="{28A0092B-C50C-407E-A947-70E740481C1C}">
                          <a14:useLocalDpi xmlns:a14="http://schemas.microsoft.com/office/drawing/2010/main" val="0"/>
                        </a:ext>
                      </a:extLst>
                    </a:blip>
                    <a:srcRect/>
                    <a:stretch>
                      <a:fillRect/>
                    </a:stretch>
                  </pic:blipFill>
                  <pic:spPr bwMode="auto">
                    <a:xfrm>
                      <a:off x="0" y="0"/>
                      <a:ext cx="2486025" cy="276225"/>
                    </a:xfrm>
                    <a:prstGeom prst="rect">
                      <a:avLst/>
                    </a:prstGeom>
                    <a:noFill/>
                    <a:ln>
                      <a:noFill/>
                    </a:ln>
                  </pic:spPr>
                </pic:pic>
              </a:graphicData>
            </a:graphic>
          </wp:inline>
        </w:drawing>
      </w:r>
      <w:r>
        <w:rPr>
          <w:rFonts w:ascii="Arial" w:hAnsi="Arial" w:cs="Arial"/>
          <w:sz w:val="20"/>
          <w:szCs w:val="20"/>
        </w:rPr>
        <w:t>, (46)</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lastRenderedPageBreak/>
        <w:drawing>
          <wp:inline distT="0" distB="0" distL="0" distR="0">
            <wp:extent cx="390525" cy="25717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783"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Pr>
          <w:rFonts w:ascii="Arial" w:hAnsi="Arial" w:cs="Arial"/>
          <w:sz w:val="20"/>
          <w:szCs w:val="20"/>
        </w:rPr>
        <w:t xml:space="preserve"> - коэффициент учета потерь, включенных в цену на электрическую энергию и возникающих в сетях владельцев объектов электросетевого хозяйства, не оказывающих услуги по передаче электрической энергии, рассчитанный коммерческим оператором для часа (h) расчетного периода (m);</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42900" cy="25717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784"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Pr>
          <w:rFonts w:ascii="Arial" w:hAnsi="Arial" w:cs="Arial"/>
          <w:sz w:val="20"/>
          <w:szCs w:val="20"/>
        </w:rPr>
        <w:t xml:space="preserve"> - средневзвешенная цена на электрическую энергию, рассчитанная коммерческим оператором из цен, сформированных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33375" cy="25717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785"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Pr>
          <w:rFonts w:ascii="Arial" w:hAnsi="Arial" w:cs="Arial"/>
          <w:sz w:val="20"/>
          <w:szCs w:val="20"/>
        </w:rPr>
        <w:t xml:space="preserve"> - объем покупки электрической энергии гарантирующим поставщиком по результатам конкурентного отбора ценовых заявок на сутки вперед в час (h) расчетного периода (m), рассчитываемый коммерческим оператором оптового рынка по формуле (46), 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495300" cy="23812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786"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Pr>
          <w:rFonts w:ascii="Arial" w:hAnsi="Arial" w:cs="Arial"/>
          <w:sz w:val="20"/>
          <w:szCs w:val="20"/>
        </w:rPr>
        <w:t xml:space="preserve"> - индикативная цена на электрическую энергию (для прочих потребителей), установленная для соответствующего периода (m) для покупки по регулируемым договорам, заключаемым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электрической энергии,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495300" cy="25717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787"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Pr>
          <w:rFonts w:ascii="Arial" w:hAnsi="Arial" w:cs="Arial"/>
          <w:sz w:val="20"/>
          <w:szCs w:val="20"/>
        </w:rPr>
        <w:t xml:space="preserve"> - объем покупки электрической энергии по регулируемым договорам, заключенным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в час (h) расчетного периода (m)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419100" cy="25717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1788"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rFonts w:ascii="Arial" w:hAnsi="Arial" w:cs="Arial"/>
          <w:sz w:val="20"/>
          <w:szCs w:val="20"/>
        </w:rP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81000" cy="25717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789"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Pr>
          <w:rFonts w:ascii="Arial" w:hAnsi="Arial" w:cs="Arial"/>
          <w:sz w:val="20"/>
          <w:szCs w:val="20"/>
        </w:rPr>
        <w:t xml:space="preserve"> - цена на электрическую энергию, поставляемую по свободному договору (k) в час (h) расчетного периода (m), зарегистрированному гарантирующим поставщиком на оптовом рынке в отношении его зоны деятельности, указанная в уведомлении гарантирующего поставщика коммерческому оператору для учета свободного договора (k) в порядке, установленном договором о присоединении к торговой системе оптового рынка,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K - множество свободных договоров купли-продажи электрической энергии (k), зарегистрированных гарантирующим поставщиком на оптовом рынке в отношении его зоны деятельности, по которым осуществлялась поставка электрической энергии в расчетном периоде (m), учитываемых коммерческим оператором в расчетах;</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71475" cy="25717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790"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Pr>
          <w:rFonts w:ascii="Arial" w:hAnsi="Arial" w:cs="Arial"/>
          <w:sz w:val="20"/>
          <w:szCs w:val="20"/>
        </w:rPr>
        <w:t xml:space="preserve"> - объем электрической энергии, поставленной по свободному договору купли-продажи электрической энергии (k) в час (h) расчетного периода (m), зарегистрированному гарантирующим поставщиком на оптовом рынке в отношении его зоны деятельности, 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638175" cy="2381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791" cstate="print">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r>
        <w:rPr>
          <w:rFonts w:ascii="Arial" w:hAnsi="Arial" w:cs="Arial"/>
          <w:sz w:val="20"/>
          <w:szCs w:val="20"/>
        </w:rPr>
        <w:t xml:space="preserve"> - стоимость электрической энергии, проданной по регулируемым договорам по результатам конкурентных отборов на сутки вперед, заключенным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проданной покупателем в расчетном периоде (m), рублей.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lastRenderedPageBreak/>
        <w:t xml:space="preserve">В случае если гарантирующий поставщик не функционирует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объем покупки электрической энергии </w:t>
      </w:r>
      <w:r>
        <w:rPr>
          <w:rFonts w:ascii="Arial" w:hAnsi="Arial" w:cs="Arial"/>
          <w:noProof/>
          <w:position w:val="-10"/>
          <w:sz w:val="20"/>
          <w:szCs w:val="20"/>
          <w:lang w:eastAsia="ru-RU"/>
        </w:rPr>
        <w:drawing>
          <wp:inline distT="0" distB="0" distL="0" distR="0">
            <wp:extent cx="495300" cy="2571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792"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Pr>
          <w:rFonts w:ascii="Arial" w:hAnsi="Arial" w:cs="Arial"/>
          <w:sz w:val="20"/>
          <w:szCs w:val="20"/>
        </w:rPr>
        <w:t xml:space="preserve"> принимается равным нулю;</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52425" cy="25717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793"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Pr>
          <w:rFonts w:ascii="Arial" w:hAnsi="Arial" w:cs="Arial"/>
          <w:sz w:val="20"/>
          <w:szCs w:val="20"/>
        </w:rPr>
        <w:t xml:space="preserve"> - плановое почасовое потребление электрической энергии гарантирующим поставщиком, сформированное по результатам конкурентного отбора ценовых заявок на сутки вперед для часа (h) расчетного периода (m) коммерческим оператором в соответствии с </w:t>
      </w:r>
      <w:hyperlink r:id="rId1794" w:history="1">
        <w:r>
          <w:rPr>
            <w:rFonts w:ascii="Arial" w:hAnsi="Arial" w:cs="Arial"/>
            <w:color w:val="0000FF"/>
            <w:sz w:val="20"/>
            <w:szCs w:val="20"/>
          </w:rPr>
          <w:t>Правилами</w:t>
        </w:r>
      </w:hyperlink>
      <w:r>
        <w:rPr>
          <w:rFonts w:ascii="Arial" w:hAnsi="Arial" w:cs="Arial"/>
          <w:sz w:val="20"/>
          <w:szCs w:val="20"/>
        </w:rPr>
        <w:t xml:space="preserve"> оптового рынка электрической энергии и мощности, 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685800" cy="23812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795"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Pr>
          <w:rFonts w:ascii="Arial" w:hAnsi="Arial" w:cs="Arial"/>
          <w:sz w:val="20"/>
          <w:szCs w:val="20"/>
        </w:rP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определяемый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В целях настоящих Правил объемы покупки электрической энергии по заключенным гарантирующим поставщиком регулируемым договорам (</w:t>
      </w:r>
      <w:r>
        <w:rPr>
          <w:rFonts w:ascii="Arial" w:hAnsi="Arial" w:cs="Arial"/>
          <w:noProof/>
          <w:position w:val="-10"/>
          <w:sz w:val="20"/>
          <w:szCs w:val="20"/>
          <w:lang w:eastAsia="ru-RU"/>
        </w:rPr>
        <w:drawing>
          <wp:inline distT="0" distB="0" distL="0" distR="0">
            <wp:extent cx="495300" cy="25717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792"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Pr>
          <w:rFonts w:ascii="Arial" w:hAnsi="Arial" w:cs="Arial"/>
          <w:sz w:val="20"/>
          <w:szCs w:val="20"/>
        </w:rPr>
        <w:t>), (</w:t>
      </w:r>
      <w:r>
        <w:rPr>
          <w:rFonts w:ascii="Arial" w:hAnsi="Arial" w:cs="Arial"/>
          <w:noProof/>
          <w:position w:val="-9"/>
          <w:sz w:val="20"/>
          <w:szCs w:val="20"/>
          <w:lang w:eastAsia="ru-RU"/>
        </w:rPr>
        <w:drawing>
          <wp:inline distT="0" distB="0" distL="0" distR="0">
            <wp:extent cx="685800" cy="23812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795"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Pr>
          <w:rFonts w:ascii="Arial" w:hAnsi="Arial" w:cs="Arial"/>
          <w:sz w:val="20"/>
          <w:szCs w:val="20"/>
        </w:rPr>
        <w:t>) определяются без учета увеличения объемов поставки для компенсации потерь электрической энергии в электрических сетях.</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17.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для часа (h) расчетного периода (m) (</w:t>
      </w:r>
      <w:r>
        <w:rPr>
          <w:rFonts w:ascii="Arial" w:hAnsi="Arial" w:cs="Arial"/>
          <w:noProof/>
          <w:position w:val="-13"/>
          <w:sz w:val="20"/>
          <w:szCs w:val="20"/>
          <w:lang w:eastAsia="ru-RU"/>
        </w:rPr>
        <w:drawing>
          <wp:inline distT="0" distB="0" distL="0" distR="0">
            <wp:extent cx="609600" cy="29527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796" cstate="print">
                      <a:extLst>
                        <a:ext uri="{28A0092B-C50C-407E-A947-70E740481C1C}">
                          <a14:useLocalDpi xmlns:a14="http://schemas.microsoft.com/office/drawing/2010/main" val="0"/>
                        </a:ext>
                      </a:extLst>
                    </a:blip>
                    <a:srcRect/>
                    <a:stretch>
                      <a:fillRect/>
                    </a:stretch>
                  </pic:blipFill>
                  <pic:spPr bwMode="auto">
                    <a:xfrm>
                      <a:off x="0" y="0"/>
                      <a:ext cx="609600" cy="295275"/>
                    </a:xfrm>
                    <a:prstGeom prst="rect">
                      <a:avLst/>
                    </a:prstGeom>
                    <a:noFill/>
                    <a:ln>
                      <a:noFill/>
                    </a:ln>
                  </pic:spPr>
                </pic:pic>
              </a:graphicData>
            </a:graphic>
          </wp:inline>
        </w:drawing>
      </w:r>
      <w:r>
        <w:rPr>
          <w:rFonts w:ascii="Arial" w:hAnsi="Arial" w:cs="Arial"/>
          <w:sz w:val="20"/>
          <w:szCs w:val="20"/>
        </w:rPr>
        <w:t>) рассчитывается коммерческим оператором оптового рынка по формулам:</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10"/>
          <w:sz w:val="20"/>
          <w:szCs w:val="20"/>
          <w:lang w:eastAsia="ru-RU"/>
        </w:rPr>
        <w:drawing>
          <wp:inline distT="0" distB="0" distL="0" distR="0">
            <wp:extent cx="2562225" cy="2667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797" cstate="print">
                      <a:extLst>
                        <a:ext uri="{28A0092B-C50C-407E-A947-70E740481C1C}">
                          <a14:useLocalDpi xmlns:a14="http://schemas.microsoft.com/office/drawing/2010/main" val="0"/>
                        </a:ext>
                      </a:extLst>
                    </a:blip>
                    <a:srcRect/>
                    <a:stretch>
                      <a:fillRect/>
                    </a:stretch>
                  </pic:blipFill>
                  <pic:spPr bwMode="auto">
                    <a:xfrm>
                      <a:off x="0" y="0"/>
                      <a:ext cx="2562225" cy="266700"/>
                    </a:xfrm>
                    <a:prstGeom prst="rect">
                      <a:avLst/>
                    </a:prstGeom>
                    <a:noFill/>
                    <a:ln>
                      <a:noFill/>
                    </a:ln>
                  </pic:spPr>
                </pic:pic>
              </a:graphicData>
            </a:graphic>
          </wp:inline>
        </w:drawing>
      </w:r>
      <w:r>
        <w:rPr>
          <w:rFonts w:ascii="Arial" w:hAnsi="Arial" w:cs="Arial"/>
          <w:sz w:val="20"/>
          <w:szCs w:val="20"/>
        </w:rPr>
        <w:t>, (47)</w:t>
      </w:r>
    </w:p>
    <w:p w:rsidR="009F5AFE" w:rsidRDefault="009F5AFE" w:rsidP="009F5AFE">
      <w:pPr>
        <w:autoSpaceDE w:val="0"/>
        <w:autoSpaceDN w:val="0"/>
        <w:adjustRightInd w:val="0"/>
        <w:spacing w:after="0" w:line="240" w:lineRule="auto"/>
        <w:jc w:val="center"/>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43"/>
          <w:sz w:val="20"/>
          <w:szCs w:val="20"/>
          <w:lang w:eastAsia="ru-RU"/>
        </w:rPr>
        <w:drawing>
          <wp:inline distT="0" distB="0" distL="0" distR="0">
            <wp:extent cx="1257300" cy="6762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798" cstate="print">
                      <a:extLst>
                        <a:ext uri="{28A0092B-C50C-407E-A947-70E740481C1C}">
                          <a14:useLocalDpi xmlns:a14="http://schemas.microsoft.com/office/drawing/2010/main" val="0"/>
                        </a:ext>
                      </a:extLst>
                    </a:blip>
                    <a:srcRect/>
                    <a:stretch>
                      <a:fillRect/>
                    </a:stretch>
                  </pic:blipFill>
                  <pic:spPr bwMode="auto">
                    <a:xfrm>
                      <a:off x="0" y="0"/>
                      <a:ext cx="1257300" cy="676275"/>
                    </a:xfrm>
                    <a:prstGeom prst="rect">
                      <a:avLst/>
                    </a:prstGeom>
                    <a:noFill/>
                    <a:ln>
                      <a:noFill/>
                    </a:ln>
                  </pic:spPr>
                </pic:pic>
              </a:graphicData>
            </a:graphic>
          </wp:inline>
        </w:drawing>
      </w:r>
      <w:r>
        <w:rPr>
          <w:rFonts w:ascii="Arial" w:hAnsi="Arial" w:cs="Arial"/>
          <w:sz w:val="20"/>
          <w:szCs w:val="20"/>
        </w:rPr>
        <w:t>, (48)</w:t>
      </w:r>
    </w:p>
    <w:p w:rsidR="009F5AFE" w:rsidRDefault="009F5AFE" w:rsidP="009F5AFE">
      <w:pPr>
        <w:autoSpaceDE w:val="0"/>
        <w:autoSpaceDN w:val="0"/>
        <w:adjustRightInd w:val="0"/>
        <w:spacing w:after="0" w:line="240" w:lineRule="auto"/>
        <w:jc w:val="center"/>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34"/>
          <w:sz w:val="20"/>
          <w:szCs w:val="20"/>
          <w:lang w:eastAsia="ru-RU"/>
        </w:rPr>
        <w:drawing>
          <wp:inline distT="0" distB="0" distL="0" distR="0">
            <wp:extent cx="1943100" cy="5715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799" cstate="print">
                      <a:extLst>
                        <a:ext uri="{28A0092B-C50C-407E-A947-70E740481C1C}">
                          <a14:useLocalDpi xmlns:a14="http://schemas.microsoft.com/office/drawing/2010/main" val="0"/>
                        </a:ext>
                      </a:extLst>
                    </a:blip>
                    <a:srcRect/>
                    <a:stretch>
                      <a:fillRect/>
                    </a:stretch>
                  </pic:blipFill>
                  <pic:spPr bwMode="auto">
                    <a:xfrm>
                      <a:off x="0" y="0"/>
                      <a:ext cx="1943100" cy="571500"/>
                    </a:xfrm>
                    <a:prstGeom prst="rect">
                      <a:avLst/>
                    </a:prstGeom>
                    <a:noFill/>
                    <a:ln>
                      <a:noFill/>
                    </a:ln>
                  </pic:spPr>
                </pic:pic>
              </a:graphicData>
            </a:graphic>
          </wp:inline>
        </w:drawing>
      </w:r>
      <w:r>
        <w:rPr>
          <w:rFonts w:ascii="Arial" w:hAnsi="Arial" w:cs="Arial"/>
          <w:sz w:val="20"/>
          <w:szCs w:val="20"/>
        </w:rPr>
        <w:t>, (49)</w:t>
      </w:r>
    </w:p>
    <w:p w:rsidR="009F5AFE" w:rsidRDefault="009F5AFE" w:rsidP="009F5AFE">
      <w:pPr>
        <w:autoSpaceDE w:val="0"/>
        <w:autoSpaceDN w:val="0"/>
        <w:adjustRightInd w:val="0"/>
        <w:spacing w:after="0" w:line="240" w:lineRule="auto"/>
        <w:jc w:val="center"/>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12"/>
          <w:sz w:val="20"/>
          <w:szCs w:val="20"/>
          <w:lang w:eastAsia="ru-RU"/>
        </w:rPr>
        <w:drawing>
          <wp:inline distT="0" distB="0" distL="0" distR="0">
            <wp:extent cx="2009775" cy="27622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800" cstate="print">
                      <a:extLst>
                        <a:ext uri="{28A0092B-C50C-407E-A947-70E740481C1C}">
                          <a14:useLocalDpi xmlns:a14="http://schemas.microsoft.com/office/drawing/2010/main" val="0"/>
                        </a:ext>
                      </a:extLst>
                    </a:blip>
                    <a:srcRect/>
                    <a:stretch>
                      <a:fillRect/>
                    </a:stretch>
                  </pic:blipFill>
                  <pic:spPr bwMode="auto">
                    <a:xfrm>
                      <a:off x="0" y="0"/>
                      <a:ext cx="2009775" cy="276225"/>
                    </a:xfrm>
                    <a:prstGeom prst="rect">
                      <a:avLst/>
                    </a:prstGeom>
                    <a:noFill/>
                    <a:ln>
                      <a:noFill/>
                    </a:ln>
                  </pic:spPr>
                </pic:pic>
              </a:graphicData>
            </a:graphic>
          </wp:inline>
        </w:drawing>
      </w:r>
      <w:r>
        <w:rPr>
          <w:rFonts w:ascii="Arial" w:hAnsi="Arial" w:cs="Arial"/>
          <w:sz w:val="20"/>
          <w:szCs w:val="20"/>
        </w:rPr>
        <w:t>, (50)</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666750" cy="2571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801" cstate="print">
                      <a:extLst>
                        <a:ext uri="{28A0092B-C50C-407E-A947-70E740481C1C}">
                          <a14:useLocalDpi xmlns:a14="http://schemas.microsoft.com/office/drawing/2010/main" val="0"/>
                        </a:ext>
                      </a:extLst>
                    </a:blip>
                    <a:srcRect/>
                    <a:stretch>
                      <a:fillRect/>
                    </a:stretch>
                  </pic:blipFill>
                  <pic:spPr bwMode="auto">
                    <a:xfrm>
                      <a:off x="0" y="0"/>
                      <a:ext cx="666750" cy="257175"/>
                    </a:xfrm>
                    <a:prstGeom prst="rect">
                      <a:avLst/>
                    </a:prstGeom>
                    <a:noFill/>
                    <a:ln>
                      <a:noFill/>
                    </a:ln>
                  </pic:spPr>
                </pic:pic>
              </a:graphicData>
            </a:graphic>
          </wp:inline>
        </w:drawing>
      </w:r>
      <w:r>
        <w:rPr>
          <w:rFonts w:ascii="Arial" w:hAnsi="Arial" w:cs="Arial"/>
          <w:sz w:val="20"/>
          <w:szCs w:val="20"/>
        </w:rP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276225" cy="2381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802"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Pr>
          <w:rFonts w:ascii="Arial" w:hAnsi="Arial" w:cs="Arial"/>
          <w:sz w:val="20"/>
          <w:szCs w:val="20"/>
        </w:rP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523875" cy="2381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803" cstate="print">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r>
        <w:rPr>
          <w:rFonts w:ascii="Arial" w:hAnsi="Arial" w:cs="Arial"/>
          <w:sz w:val="20"/>
          <w:szCs w:val="20"/>
        </w:rP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lastRenderedPageBreak/>
        <w:drawing>
          <wp:inline distT="0" distB="0" distL="0" distR="0">
            <wp:extent cx="342900" cy="2571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804"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Pr>
          <w:rFonts w:ascii="Arial" w:hAnsi="Arial" w:cs="Arial"/>
          <w:sz w:val="20"/>
          <w:szCs w:val="20"/>
        </w:rPr>
        <w:t xml:space="preserve"> - средневзвешенный модуль разности индикатора стоимости диспетчерских объемов и равновесной цены на электрическую энергию, определенной по результатам конкурентного отбора ценовых заявок на сутки вперед, рассчитанный коммерческим оператором оптового рынка в соответствии с договором о присоединении к торговой системе оптового рынка для часа (h) расчетного периода (m),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276225" cy="2571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805"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rFonts w:ascii="Arial" w:hAnsi="Arial" w:cs="Arial"/>
          <w:sz w:val="20"/>
          <w:szCs w:val="20"/>
        </w:rPr>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(50), 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676275" cy="2381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806"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Pr>
          <w:rFonts w:ascii="Arial" w:hAnsi="Arial" w:cs="Arial"/>
          <w:sz w:val="20"/>
          <w:szCs w:val="20"/>
        </w:rP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коммерческим оператором в соответствии с </w:t>
      </w:r>
      <w:hyperlink r:id="rId1807" w:history="1">
        <w:r>
          <w:rPr>
            <w:rFonts w:ascii="Arial" w:hAnsi="Arial" w:cs="Arial"/>
            <w:color w:val="0000FF"/>
            <w:sz w:val="20"/>
            <w:szCs w:val="20"/>
          </w:rPr>
          <w:t>Правилами</w:t>
        </w:r>
      </w:hyperlink>
      <w:r>
        <w:rPr>
          <w:rFonts w:ascii="Arial" w:hAnsi="Arial" w:cs="Arial"/>
          <w:sz w:val="20"/>
          <w:szCs w:val="20"/>
        </w:rPr>
        <w:t xml:space="preserve"> оптового рынка электрической энергии и мощности, рублей;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609600" cy="2381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808"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Pr>
          <w:rFonts w:ascii="Arial" w:hAnsi="Arial" w:cs="Arial"/>
          <w:sz w:val="20"/>
          <w:szCs w:val="20"/>
        </w:rP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w:t>
      </w:r>
      <w:hyperlink r:id="rId1809" w:history="1">
        <w:r>
          <w:rPr>
            <w:rFonts w:ascii="Arial" w:hAnsi="Arial" w:cs="Arial"/>
            <w:color w:val="0000FF"/>
            <w:sz w:val="20"/>
            <w:szCs w:val="20"/>
          </w:rPr>
          <w:t>Правилами</w:t>
        </w:r>
      </w:hyperlink>
      <w:r>
        <w:rPr>
          <w:rFonts w:ascii="Arial" w:hAnsi="Arial" w:cs="Arial"/>
          <w:sz w:val="20"/>
          <w:szCs w:val="20"/>
        </w:rPr>
        <w:t xml:space="preserve"> оптового рынка электрической энергии и мощности, рублей;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466725" cy="2571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810"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Pr>
          <w:rFonts w:ascii="Arial" w:hAnsi="Arial" w:cs="Arial"/>
          <w:sz w:val="20"/>
          <w:szCs w:val="20"/>
        </w:rPr>
        <w:t xml:space="preserve"> - фактический объем потребления электрической энергии гарантирующего поставщика, определенный коммерческим оператором для часа (h) расчетного периода (m), 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704850" cy="2571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811" cstate="print">
                      <a:extLst>
                        <a:ext uri="{28A0092B-C50C-407E-A947-70E740481C1C}">
                          <a14:useLocalDpi xmlns:a14="http://schemas.microsoft.com/office/drawing/2010/main" val="0"/>
                        </a:ext>
                      </a:extLst>
                    </a:blip>
                    <a:srcRect/>
                    <a:stretch>
                      <a:fillRect/>
                    </a:stretch>
                  </pic:blipFill>
                  <pic:spPr bwMode="auto">
                    <a:xfrm>
                      <a:off x="0" y="0"/>
                      <a:ext cx="704850" cy="257175"/>
                    </a:xfrm>
                    <a:prstGeom prst="rect">
                      <a:avLst/>
                    </a:prstGeom>
                    <a:noFill/>
                    <a:ln>
                      <a:noFill/>
                    </a:ln>
                  </pic:spPr>
                </pic:pic>
              </a:graphicData>
            </a:graphic>
          </wp:inline>
        </w:drawing>
      </w:r>
      <w:r>
        <w:rPr>
          <w:rFonts w:ascii="Arial" w:hAnsi="Arial" w:cs="Arial"/>
          <w:sz w:val="20"/>
          <w:szCs w:val="20"/>
        </w:rP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рассчитанный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18.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 в час (h) расчетного периода (m) (</w:t>
      </w:r>
      <w:r>
        <w:rPr>
          <w:rFonts w:ascii="Arial" w:hAnsi="Arial" w:cs="Arial"/>
          <w:noProof/>
          <w:position w:val="-10"/>
          <w:sz w:val="20"/>
          <w:szCs w:val="20"/>
          <w:lang w:eastAsia="ru-RU"/>
        </w:rPr>
        <w:drawing>
          <wp:inline distT="0" distB="0" distL="0" distR="0">
            <wp:extent cx="561975" cy="2571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812"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Pr>
          <w:rFonts w:ascii="Arial" w:hAnsi="Arial" w:cs="Arial"/>
          <w:sz w:val="20"/>
          <w:szCs w:val="20"/>
        </w:rPr>
        <w:t>) рассчитывается коммерческим оператором оптового рынка по формуле:</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12"/>
          <w:sz w:val="20"/>
          <w:szCs w:val="20"/>
          <w:lang w:eastAsia="ru-RU"/>
        </w:rPr>
        <w:drawing>
          <wp:inline distT="0" distB="0" distL="0" distR="0">
            <wp:extent cx="1943100" cy="2762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813" cstate="print">
                      <a:extLst>
                        <a:ext uri="{28A0092B-C50C-407E-A947-70E740481C1C}">
                          <a14:useLocalDpi xmlns:a14="http://schemas.microsoft.com/office/drawing/2010/main" val="0"/>
                        </a:ext>
                      </a:extLst>
                    </a:blip>
                    <a:srcRect/>
                    <a:stretch>
                      <a:fillRect/>
                    </a:stretch>
                  </pic:blipFill>
                  <pic:spPr bwMode="auto">
                    <a:xfrm>
                      <a:off x="0" y="0"/>
                      <a:ext cx="1943100" cy="276225"/>
                    </a:xfrm>
                    <a:prstGeom prst="rect">
                      <a:avLst/>
                    </a:prstGeom>
                    <a:noFill/>
                    <a:ln>
                      <a:noFill/>
                    </a:ln>
                  </pic:spPr>
                </pic:pic>
              </a:graphicData>
            </a:graphic>
          </wp:inline>
        </w:drawing>
      </w:r>
      <w:r>
        <w:rPr>
          <w:rFonts w:ascii="Arial" w:hAnsi="Arial" w:cs="Arial"/>
          <w:sz w:val="20"/>
          <w:szCs w:val="20"/>
        </w:rPr>
        <w:t>, (51)</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33375" cy="2571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814"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Pr>
          <w:rFonts w:ascii="Arial" w:hAnsi="Arial" w:cs="Arial"/>
          <w:sz w:val="20"/>
          <w:szCs w:val="20"/>
        </w:rPr>
        <w:t xml:space="preserve"> - цена на балансирование вверх, рассчитываемая коммерческим оператором в соответствии с договором о присоединении к торговой системе оптового рынка для часа (h) расчетного периода (m),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81000" cy="2571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815"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Pr>
          <w:rFonts w:ascii="Arial" w:hAnsi="Arial" w:cs="Arial"/>
          <w:sz w:val="20"/>
          <w:szCs w:val="20"/>
        </w:rPr>
        <w:t xml:space="preserve"> - средневзвешенная цена на электрическую энергию, рассчитанная 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19. Дифференцированная по часам расчетного периода средневзвешенная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 в час </w:t>
      </w:r>
      <w:r>
        <w:rPr>
          <w:rFonts w:ascii="Arial" w:hAnsi="Arial" w:cs="Arial"/>
          <w:sz w:val="20"/>
          <w:szCs w:val="20"/>
        </w:rPr>
        <w:lastRenderedPageBreak/>
        <w:t>(h) расчетного периода (m) (</w:t>
      </w:r>
      <w:r>
        <w:rPr>
          <w:rFonts w:ascii="Arial" w:hAnsi="Arial" w:cs="Arial"/>
          <w:noProof/>
          <w:position w:val="-10"/>
          <w:sz w:val="20"/>
          <w:szCs w:val="20"/>
          <w:lang w:eastAsia="ru-RU"/>
        </w:rPr>
        <w:drawing>
          <wp:inline distT="0" distB="0" distL="0" distR="0">
            <wp:extent cx="523875" cy="2571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816"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Pr>
          <w:rFonts w:ascii="Arial" w:hAnsi="Arial" w:cs="Arial"/>
          <w:sz w:val="20"/>
          <w:szCs w:val="20"/>
        </w:rPr>
        <w:t>) рассчитывается коммерческим оператором оптового рынка по формуле:</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12"/>
          <w:sz w:val="20"/>
          <w:szCs w:val="20"/>
          <w:lang w:eastAsia="ru-RU"/>
        </w:rPr>
        <w:drawing>
          <wp:inline distT="0" distB="0" distL="0" distR="0">
            <wp:extent cx="1914525" cy="2762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817" cstate="print">
                      <a:extLst>
                        <a:ext uri="{28A0092B-C50C-407E-A947-70E740481C1C}">
                          <a14:useLocalDpi xmlns:a14="http://schemas.microsoft.com/office/drawing/2010/main" val="0"/>
                        </a:ext>
                      </a:extLst>
                    </a:blip>
                    <a:srcRect/>
                    <a:stretch>
                      <a:fillRect/>
                    </a:stretch>
                  </pic:blipFill>
                  <pic:spPr bwMode="auto">
                    <a:xfrm>
                      <a:off x="0" y="0"/>
                      <a:ext cx="1914525" cy="276225"/>
                    </a:xfrm>
                    <a:prstGeom prst="rect">
                      <a:avLst/>
                    </a:prstGeom>
                    <a:noFill/>
                    <a:ln>
                      <a:noFill/>
                    </a:ln>
                  </pic:spPr>
                </pic:pic>
              </a:graphicData>
            </a:graphic>
          </wp:inline>
        </w:drawing>
      </w:r>
      <w:r>
        <w:rPr>
          <w:rFonts w:ascii="Arial" w:hAnsi="Arial" w:cs="Arial"/>
          <w:sz w:val="20"/>
          <w:szCs w:val="20"/>
        </w:rPr>
        <w:t>, (52)</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81000" cy="2571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818"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Pr>
          <w:rFonts w:ascii="Arial" w:hAnsi="Arial" w:cs="Arial"/>
          <w:sz w:val="20"/>
          <w:szCs w:val="20"/>
        </w:rPr>
        <w:t xml:space="preserve"> - средневзвешенная цена на электрическую энергию, рассчитанная 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33375" cy="2571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819"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Pr>
          <w:rFonts w:ascii="Arial" w:hAnsi="Arial" w:cs="Arial"/>
          <w:sz w:val="20"/>
          <w:szCs w:val="20"/>
        </w:rPr>
        <w:t xml:space="preserve"> - цена на балансирование вниз, рассчитываемая коммерческим оператором в соответствии с договором о присоединении к торговой системе оптового рынка для часа (h) расчетного периода (m),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20. Приходящаяся на единицу электрической энергии величина разницы предварительных требований и обязательств, рассчитанных по результатам конкурентного отбора ценовых заявок на сутки вперед (</w:t>
      </w:r>
      <w:r>
        <w:rPr>
          <w:rFonts w:ascii="Arial" w:hAnsi="Arial" w:cs="Arial"/>
          <w:noProof/>
          <w:position w:val="-9"/>
          <w:sz w:val="20"/>
          <w:szCs w:val="20"/>
          <w:lang w:eastAsia="ru-RU"/>
        </w:rPr>
        <w:drawing>
          <wp:inline distT="0" distB="0" distL="0" distR="0">
            <wp:extent cx="695325" cy="2381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820"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Pr>
          <w:rFonts w:ascii="Arial" w:hAnsi="Arial" w:cs="Arial"/>
          <w:sz w:val="20"/>
          <w:szCs w:val="20"/>
        </w:rPr>
        <w:t>), определяется коммерческим оператором для расчетного периода (m) по формуле:</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34"/>
          <w:sz w:val="20"/>
          <w:szCs w:val="20"/>
          <w:lang w:eastAsia="ru-RU"/>
        </w:rPr>
        <w:drawing>
          <wp:inline distT="0" distB="0" distL="0" distR="0">
            <wp:extent cx="1476375" cy="5715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821" cstate="print">
                      <a:extLst>
                        <a:ext uri="{28A0092B-C50C-407E-A947-70E740481C1C}">
                          <a14:useLocalDpi xmlns:a14="http://schemas.microsoft.com/office/drawing/2010/main" val="0"/>
                        </a:ext>
                      </a:extLst>
                    </a:blip>
                    <a:srcRect/>
                    <a:stretch>
                      <a:fillRect/>
                    </a:stretch>
                  </pic:blipFill>
                  <pic:spPr bwMode="auto">
                    <a:xfrm>
                      <a:off x="0" y="0"/>
                      <a:ext cx="1476375" cy="571500"/>
                    </a:xfrm>
                    <a:prstGeom prst="rect">
                      <a:avLst/>
                    </a:prstGeom>
                    <a:noFill/>
                    <a:ln>
                      <a:noFill/>
                    </a:ln>
                  </pic:spPr>
                </pic:pic>
              </a:graphicData>
            </a:graphic>
          </wp:inline>
        </w:drawing>
      </w:r>
      <w:r>
        <w:rPr>
          <w:rFonts w:ascii="Arial" w:hAnsi="Arial" w:cs="Arial"/>
          <w:sz w:val="20"/>
          <w:szCs w:val="20"/>
        </w:rPr>
        <w:t>, (53)</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676275" cy="2381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822"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Pr>
          <w:rFonts w:ascii="Arial" w:hAnsi="Arial" w:cs="Arial"/>
          <w:sz w:val="20"/>
          <w:szCs w:val="20"/>
        </w:rP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коммерческим оператором в соответствии с </w:t>
      </w:r>
      <w:hyperlink r:id="rId1823" w:history="1">
        <w:r>
          <w:rPr>
            <w:rFonts w:ascii="Arial" w:hAnsi="Arial" w:cs="Arial"/>
            <w:color w:val="0000FF"/>
            <w:sz w:val="20"/>
            <w:szCs w:val="20"/>
          </w:rPr>
          <w:t>Правилами</w:t>
        </w:r>
      </w:hyperlink>
      <w:r>
        <w:rPr>
          <w:rFonts w:ascii="Arial" w:hAnsi="Arial" w:cs="Arial"/>
          <w:sz w:val="20"/>
          <w:szCs w:val="20"/>
        </w:rPr>
        <w:t xml:space="preserve"> оптового рынка электрической энергии и мощности, рублей;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466725" cy="2571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824"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Pr>
          <w:rFonts w:ascii="Arial" w:hAnsi="Arial" w:cs="Arial"/>
          <w:sz w:val="20"/>
          <w:szCs w:val="20"/>
        </w:rP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21.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w:t>
      </w:r>
      <w:r>
        <w:rPr>
          <w:rFonts w:ascii="Arial" w:hAnsi="Arial" w:cs="Arial"/>
          <w:noProof/>
          <w:position w:val="-9"/>
          <w:sz w:val="20"/>
          <w:szCs w:val="20"/>
          <w:lang w:eastAsia="ru-RU"/>
        </w:rPr>
        <w:drawing>
          <wp:inline distT="0" distB="0" distL="0" distR="0">
            <wp:extent cx="666750" cy="2381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825" cstate="print">
                      <a:extLst>
                        <a:ext uri="{28A0092B-C50C-407E-A947-70E740481C1C}">
                          <a14:useLocalDpi xmlns:a14="http://schemas.microsoft.com/office/drawing/2010/main" val="0"/>
                        </a:ext>
                      </a:extLst>
                    </a:blip>
                    <a:srcRect/>
                    <a:stretch>
                      <a:fillRect/>
                    </a:stretch>
                  </pic:blipFill>
                  <pic:spPr bwMode="auto">
                    <a:xfrm>
                      <a:off x="0" y="0"/>
                      <a:ext cx="666750" cy="238125"/>
                    </a:xfrm>
                    <a:prstGeom prst="rect">
                      <a:avLst/>
                    </a:prstGeom>
                    <a:noFill/>
                    <a:ln>
                      <a:noFill/>
                    </a:ln>
                  </pic:spPr>
                </pic:pic>
              </a:graphicData>
            </a:graphic>
          </wp:inline>
        </w:drawing>
      </w:r>
      <w:r>
        <w:rPr>
          <w:rFonts w:ascii="Arial" w:hAnsi="Arial" w:cs="Arial"/>
          <w:sz w:val="20"/>
          <w:szCs w:val="20"/>
        </w:rPr>
        <w:t>), определяется коммерческим оператором для расчетного периода (m) по формуле:</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35"/>
          <w:sz w:val="20"/>
          <w:szCs w:val="20"/>
          <w:lang w:eastAsia="ru-RU"/>
        </w:rPr>
        <w:drawing>
          <wp:inline distT="0" distB="0" distL="0" distR="0">
            <wp:extent cx="1790700" cy="571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826" cstate="print">
                      <a:extLst>
                        <a:ext uri="{28A0092B-C50C-407E-A947-70E740481C1C}">
                          <a14:useLocalDpi xmlns:a14="http://schemas.microsoft.com/office/drawing/2010/main" val="0"/>
                        </a:ext>
                      </a:extLst>
                    </a:blip>
                    <a:srcRect/>
                    <a:stretch>
                      <a:fillRect/>
                    </a:stretch>
                  </pic:blipFill>
                  <pic:spPr bwMode="auto">
                    <a:xfrm>
                      <a:off x="0" y="0"/>
                      <a:ext cx="1790700" cy="571500"/>
                    </a:xfrm>
                    <a:prstGeom prst="rect">
                      <a:avLst/>
                    </a:prstGeom>
                    <a:noFill/>
                    <a:ln>
                      <a:noFill/>
                    </a:ln>
                  </pic:spPr>
                </pic:pic>
              </a:graphicData>
            </a:graphic>
          </wp:inline>
        </w:drawing>
      </w:r>
      <w:r>
        <w:rPr>
          <w:rFonts w:ascii="Arial" w:hAnsi="Arial" w:cs="Arial"/>
          <w:sz w:val="20"/>
          <w:szCs w:val="20"/>
        </w:rPr>
        <w:t>, (54)</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581025" cy="2381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827" cstate="print">
                      <a:extLst>
                        <a:ext uri="{28A0092B-C50C-407E-A947-70E740481C1C}">
                          <a14:useLocalDpi xmlns:a14="http://schemas.microsoft.com/office/drawing/2010/main" val="0"/>
                        </a:ext>
                      </a:extLst>
                    </a:blip>
                    <a:srcRect/>
                    <a:stretch>
                      <a:fillRect/>
                    </a:stretch>
                  </pic:blipFill>
                  <pic:spPr bwMode="auto">
                    <a:xfrm>
                      <a:off x="0" y="0"/>
                      <a:ext cx="581025" cy="238125"/>
                    </a:xfrm>
                    <a:prstGeom prst="rect">
                      <a:avLst/>
                    </a:prstGeom>
                    <a:noFill/>
                    <a:ln>
                      <a:noFill/>
                    </a:ln>
                  </pic:spPr>
                </pic:pic>
              </a:graphicData>
            </a:graphic>
          </wp:inline>
        </w:drawing>
      </w:r>
      <w:r>
        <w:rPr>
          <w:rFonts w:ascii="Arial" w:hAnsi="Arial" w:cs="Arial"/>
          <w:sz w:val="20"/>
          <w:szCs w:val="20"/>
        </w:rP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w:t>
      </w:r>
      <w:hyperlink r:id="rId1828" w:history="1">
        <w:r>
          <w:rPr>
            <w:rFonts w:ascii="Arial" w:hAnsi="Arial" w:cs="Arial"/>
            <w:color w:val="0000FF"/>
            <w:sz w:val="20"/>
            <w:szCs w:val="20"/>
          </w:rPr>
          <w:t>Правилами</w:t>
        </w:r>
      </w:hyperlink>
      <w:r>
        <w:rPr>
          <w:rFonts w:ascii="Arial" w:hAnsi="Arial" w:cs="Arial"/>
          <w:sz w:val="20"/>
          <w:szCs w:val="20"/>
        </w:rPr>
        <w:t xml:space="preserve"> оптового рынка электрической энергии и мощности, рублей;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lastRenderedPageBreak/>
        <w:drawing>
          <wp:inline distT="0" distB="0" distL="0" distR="0">
            <wp:extent cx="419100" cy="2571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829"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rFonts w:ascii="Arial" w:hAnsi="Arial" w:cs="Arial"/>
          <w:sz w:val="20"/>
          <w:szCs w:val="20"/>
        </w:rPr>
        <w:t xml:space="preserve"> - фактическое почасовое потребление электрической энергии гарантирующего поставщика в час (h) расчетного периода (m), 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352425" cy="2571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830"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Pr>
          <w:rFonts w:ascii="Arial" w:hAnsi="Arial" w:cs="Arial"/>
          <w:sz w:val="20"/>
          <w:szCs w:val="20"/>
        </w:rPr>
        <w:t xml:space="preserve"> - плановое почасовое потребление электрической энергии гарантирующим поставщиком по результатам конкурентного отбора ценовых заявок на сутки вперед для часа (h) расчетного периода (m), сформированное коммерческим оператором в соответствии с </w:t>
      </w:r>
      <w:hyperlink r:id="rId1831" w:history="1">
        <w:r>
          <w:rPr>
            <w:rFonts w:ascii="Arial" w:hAnsi="Arial" w:cs="Arial"/>
            <w:color w:val="0000FF"/>
            <w:sz w:val="20"/>
            <w:szCs w:val="20"/>
          </w:rPr>
          <w:t>Правилами</w:t>
        </w:r>
      </w:hyperlink>
      <w:r>
        <w:rPr>
          <w:rFonts w:ascii="Arial" w:hAnsi="Arial" w:cs="Arial"/>
          <w:sz w:val="20"/>
          <w:szCs w:val="20"/>
        </w:rPr>
        <w:t xml:space="preserve"> оптового рынка электрической энергии и мощности, 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22. Средневзвешенная нерегулируемая цена на мощность на оптовом рынке в отношении расчетного периода (m) (</w:t>
      </w:r>
      <w:r>
        <w:rPr>
          <w:rFonts w:ascii="Arial" w:hAnsi="Arial" w:cs="Arial"/>
          <w:noProof/>
          <w:position w:val="-9"/>
          <w:sz w:val="20"/>
          <w:szCs w:val="20"/>
          <w:lang w:eastAsia="ru-RU"/>
        </w:rPr>
        <w:drawing>
          <wp:inline distT="0" distB="0" distL="0" distR="0">
            <wp:extent cx="495300" cy="2381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832"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Pr>
          <w:rFonts w:ascii="Arial" w:hAnsi="Arial" w:cs="Arial"/>
          <w:sz w:val="20"/>
          <w:szCs w:val="20"/>
        </w:rPr>
        <w:t>) рассчитывается коммерческим оператором оптового рынка по формулам:</w:t>
      </w:r>
    </w:p>
    <w:p w:rsidR="009F5AFE" w:rsidRDefault="009F5AFE" w:rsidP="009F5AFE">
      <w:pPr>
        <w:autoSpaceDE w:val="0"/>
        <w:autoSpaceDN w:val="0"/>
        <w:adjustRightInd w:val="0"/>
        <w:spacing w:after="0" w:line="240" w:lineRule="auto"/>
        <w:jc w:val="center"/>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28"/>
          <w:sz w:val="20"/>
          <w:szCs w:val="20"/>
          <w:lang w:eastAsia="ru-RU"/>
        </w:rPr>
        <w:drawing>
          <wp:inline distT="0" distB="0" distL="0" distR="0">
            <wp:extent cx="1609725" cy="4857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833" cstate="print">
                      <a:extLst>
                        <a:ext uri="{28A0092B-C50C-407E-A947-70E740481C1C}">
                          <a14:useLocalDpi xmlns:a14="http://schemas.microsoft.com/office/drawing/2010/main" val="0"/>
                        </a:ext>
                      </a:extLst>
                    </a:blip>
                    <a:srcRect/>
                    <a:stretch>
                      <a:fillRect/>
                    </a:stretch>
                  </pic:blipFill>
                  <pic:spPr bwMode="auto">
                    <a:xfrm>
                      <a:off x="0" y="0"/>
                      <a:ext cx="1609725" cy="485775"/>
                    </a:xfrm>
                    <a:prstGeom prst="rect">
                      <a:avLst/>
                    </a:prstGeom>
                    <a:noFill/>
                    <a:ln>
                      <a:noFill/>
                    </a:ln>
                  </pic:spPr>
                </pic:pic>
              </a:graphicData>
            </a:graphic>
          </wp:inline>
        </w:drawing>
      </w:r>
      <w:r>
        <w:rPr>
          <w:rFonts w:ascii="Arial" w:hAnsi="Arial" w:cs="Arial"/>
          <w:sz w:val="20"/>
          <w:szCs w:val="20"/>
        </w:rPr>
        <w:t>, (55)</w:t>
      </w:r>
    </w:p>
    <w:p w:rsidR="009F5AFE" w:rsidRDefault="009F5AFE" w:rsidP="009F5AFE">
      <w:pPr>
        <w:autoSpaceDE w:val="0"/>
        <w:autoSpaceDN w:val="0"/>
        <w:adjustRightInd w:val="0"/>
        <w:spacing w:after="0" w:line="240" w:lineRule="auto"/>
        <w:jc w:val="center"/>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9"/>
          <w:sz w:val="20"/>
          <w:szCs w:val="20"/>
          <w:lang w:eastAsia="ru-RU"/>
        </w:rPr>
        <w:drawing>
          <wp:inline distT="0" distB="0" distL="0" distR="0">
            <wp:extent cx="1219200" cy="2381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834" cstate="print">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Pr>
          <w:rFonts w:ascii="Arial" w:hAnsi="Arial" w:cs="Arial"/>
          <w:sz w:val="20"/>
          <w:szCs w:val="20"/>
        </w:rPr>
        <w:t>, (56)</w:t>
      </w:r>
    </w:p>
    <w:p w:rsidR="009F5AFE" w:rsidRDefault="009F5AFE" w:rsidP="009F5AFE">
      <w:pPr>
        <w:autoSpaceDE w:val="0"/>
        <w:autoSpaceDN w:val="0"/>
        <w:adjustRightInd w:val="0"/>
        <w:spacing w:after="0" w:line="240" w:lineRule="auto"/>
        <w:jc w:val="center"/>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индекс (m-1) в формулах используется для обозначения расчетного периода (m-1);</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400050" cy="2381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835" cstate="print">
                      <a:extLst>
                        <a:ext uri="{28A0092B-C50C-407E-A947-70E740481C1C}">
                          <a14:useLocalDpi xmlns:a14="http://schemas.microsoft.com/office/drawing/2010/main" val="0"/>
                        </a:ext>
                      </a:extLst>
                    </a:blip>
                    <a:srcRect/>
                    <a:stretch>
                      <a:fillRect/>
                    </a:stretch>
                  </pic:blipFill>
                  <pic:spPr bwMode="auto">
                    <a:xfrm>
                      <a:off x="0" y="0"/>
                      <a:ext cx="400050" cy="238125"/>
                    </a:xfrm>
                    <a:prstGeom prst="rect">
                      <a:avLst/>
                    </a:prstGeom>
                    <a:noFill/>
                    <a:ln>
                      <a:noFill/>
                    </a:ln>
                  </pic:spPr>
                </pic:pic>
              </a:graphicData>
            </a:graphic>
          </wp:inline>
        </w:drawing>
      </w:r>
      <w:r>
        <w:rPr>
          <w:rFonts w:ascii="Arial" w:hAnsi="Arial" w:cs="Arial"/>
          <w:sz w:val="20"/>
          <w:szCs w:val="20"/>
        </w:rP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 плановая стоимость покупки мощности на основе фактической стоимости покупки мощности за расчетный период (m-1) по всем договорам, заключенным гарантирующим поставщиком в соответствии с </w:t>
      </w:r>
      <w:hyperlink r:id="rId1836" w:history="1">
        <w:r>
          <w:rPr>
            <w:rFonts w:ascii="Arial" w:hAnsi="Arial" w:cs="Arial"/>
            <w:color w:val="0000FF"/>
            <w:sz w:val="20"/>
            <w:szCs w:val="20"/>
          </w:rPr>
          <w:t>Правилами</w:t>
        </w:r>
      </w:hyperlink>
      <w:r>
        <w:rPr>
          <w:rFonts w:ascii="Arial" w:hAnsi="Arial" w:cs="Arial"/>
          <w:sz w:val="20"/>
          <w:szCs w:val="20"/>
        </w:rPr>
        <w:t xml:space="preserve"> оптового рынка электрической энергии и мощности и обеспечивающим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рублей;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304800" cy="2381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837"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Pr>
          <w:rFonts w:ascii="Arial" w:hAnsi="Arial" w:cs="Arial"/>
          <w:sz w:val="20"/>
          <w:szCs w:val="20"/>
        </w:rPr>
        <w:t xml:space="preserve"> - корректировка стоимости мощности, рассчитываемая коммерческим оператором для расчетного периода (m) по формуле (56) в соответствии с договором о присоединении к торговой системе оптового рынка;</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304800" cy="2381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838"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Pr>
          <w:rFonts w:ascii="Arial" w:hAnsi="Arial" w:cs="Arial"/>
          <w:sz w:val="20"/>
          <w:szCs w:val="20"/>
        </w:rPr>
        <w:t xml:space="preserve"> - объем фактического пикового потребления гарантирующего поставщика на оптовом рынке, рассчитываемый коммерческим оператором для расчетного периода (m) в соответствии с </w:t>
      </w:r>
      <w:hyperlink r:id="rId1839" w:history="1">
        <w:r>
          <w:rPr>
            <w:rFonts w:ascii="Arial" w:hAnsi="Arial" w:cs="Arial"/>
            <w:color w:val="0000FF"/>
            <w:sz w:val="20"/>
            <w:szCs w:val="20"/>
          </w:rPr>
          <w:t>Правилами</w:t>
        </w:r>
      </w:hyperlink>
      <w:r>
        <w:rPr>
          <w:rFonts w:ascii="Arial" w:hAnsi="Arial" w:cs="Arial"/>
          <w:sz w:val="20"/>
          <w:szCs w:val="20"/>
        </w:rPr>
        <w:t xml:space="preserve"> оптового рынка электрической энергии и мощности, 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723900" cy="2381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840" cstate="print">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Pr>
          <w:rFonts w:ascii="Arial" w:hAnsi="Arial" w:cs="Arial"/>
          <w:sz w:val="20"/>
          <w:szCs w:val="20"/>
        </w:rPr>
        <w:t xml:space="preserve"> - объем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определяемый в соответствии с </w:t>
      </w:r>
      <w:hyperlink r:id="rId1841" w:history="1">
        <w:r>
          <w:rPr>
            <w:rFonts w:ascii="Arial" w:hAnsi="Arial" w:cs="Arial"/>
            <w:color w:val="0000FF"/>
            <w:sz w:val="20"/>
            <w:szCs w:val="20"/>
          </w:rPr>
          <w:t>Правилами</w:t>
        </w:r>
      </w:hyperlink>
      <w:r>
        <w:rPr>
          <w:rFonts w:ascii="Arial" w:hAnsi="Arial" w:cs="Arial"/>
          <w:sz w:val="20"/>
          <w:szCs w:val="20"/>
        </w:rPr>
        <w:t xml:space="preserve"> оптового рынка электрической энергии и мощности, 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419100" cy="2381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842"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Pr>
          <w:rFonts w:ascii="Arial" w:hAnsi="Arial" w:cs="Arial"/>
          <w:sz w:val="20"/>
          <w:szCs w:val="20"/>
        </w:rP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(m-1) фактическая стоимость покупки мощности по всем договорам, заключенным в соответствии с </w:t>
      </w:r>
      <w:hyperlink r:id="rId1843" w:history="1">
        <w:r>
          <w:rPr>
            <w:rFonts w:ascii="Arial" w:hAnsi="Arial" w:cs="Arial"/>
            <w:color w:val="0000FF"/>
            <w:sz w:val="20"/>
            <w:szCs w:val="20"/>
          </w:rPr>
          <w:t>Правилами</w:t>
        </w:r>
      </w:hyperlink>
      <w:r>
        <w:rPr>
          <w:rFonts w:ascii="Arial" w:hAnsi="Arial" w:cs="Arial"/>
          <w:sz w:val="20"/>
          <w:szCs w:val="20"/>
        </w:rPr>
        <w:t xml:space="preserve"> оптового рынка электрической энергии и мощности и обеспечивающим приобретение мощности, исходя из фактической стоимости покупки мощности по результатам конкурентного отбора мощности без учета определяемой в соответствии с </w:t>
      </w:r>
      <w:hyperlink r:id="rId1844" w:history="1">
        <w:r>
          <w:rPr>
            <w:rFonts w:ascii="Arial" w:hAnsi="Arial" w:cs="Arial"/>
            <w:color w:val="0000FF"/>
            <w:sz w:val="20"/>
            <w:szCs w:val="20"/>
          </w:rPr>
          <w:t>Правилами</w:t>
        </w:r>
      </w:hyperlink>
      <w:r>
        <w:rPr>
          <w:rFonts w:ascii="Arial" w:hAnsi="Arial" w:cs="Arial"/>
          <w:sz w:val="20"/>
          <w:szCs w:val="20"/>
        </w:rPr>
        <w:t xml:space="preserve"> оптового рынка электрической энергии и мощности величины, распределяемой на стороны свободных договоров купли-продажи мощности, свободных договоров купли-продажи электрической энергии и мощности, заключенных в отношении мощности генерирующего оборудования гидроэлектростанций, расположенных во второй ценовой зоне, и генерирующих объектов, в отношении которых были указаны наиболее высокие цены в ценовых заявках на конкурентный отбор, и иных </w:t>
      </w:r>
      <w:r>
        <w:rPr>
          <w:rFonts w:ascii="Arial" w:hAnsi="Arial" w:cs="Arial"/>
          <w:sz w:val="20"/>
          <w:szCs w:val="20"/>
        </w:rPr>
        <w:lastRenderedPageBreak/>
        <w:t xml:space="preserve">договоров, заключенных гарантирующим поставщиком в соответствии с </w:t>
      </w:r>
      <w:hyperlink r:id="rId1845" w:history="1">
        <w:r>
          <w:rPr>
            <w:rFonts w:ascii="Arial" w:hAnsi="Arial" w:cs="Arial"/>
            <w:color w:val="0000FF"/>
            <w:sz w:val="20"/>
            <w:szCs w:val="20"/>
          </w:rPr>
          <w:t>Правилами</w:t>
        </w:r>
      </w:hyperlink>
      <w:r>
        <w:rPr>
          <w:rFonts w:ascii="Arial" w:hAnsi="Arial" w:cs="Arial"/>
          <w:sz w:val="20"/>
          <w:szCs w:val="20"/>
        </w:rPr>
        <w:t xml:space="preserve"> оптового рынка электрической энергии и мощности и обеспечивающих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а также с учетом величин штрафов, рассчитанных по договорам купли-продажи (поставки) мощности, рублей;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400050" cy="2381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1846" cstate="print">
                      <a:extLst>
                        <a:ext uri="{28A0092B-C50C-407E-A947-70E740481C1C}">
                          <a14:useLocalDpi xmlns:a14="http://schemas.microsoft.com/office/drawing/2010/main" val="0"/>
                        </a:ext>
                      </a:extLst>
                    </a:blip>
                    <a:srcRect/>
                    <a:stretch>
                      <a:fillRect/>
                    </a:stretch>
                  </pic:blipFill>
                  <pic:spPr bwMode="auto">
                    <a:xfrm>
                      <a:off x="0" y="0"/>
                      <a:ext cx="400050" cy="238125"/>
                    </a:xfrm>
                    <a:prstGeom prst="rect">
                      <a:avLst/>
                    </a:prstGeom>
                    <a:noFill/>
                    <a:ln>
                      <a:noFill/>
                    </a:ln>
                  </pic:spPr>
                </pic:pic>
              </a:graphicData>
            </a:graphic>
          </wp:inline>
        </w:drawing>
      </w:r>
      <w:r>
        <w:rPr>
          <w:rFonts w:ascii="Arial" w:hAnsi="Arial" w:cs="Arial"/>
          <w:sz w:val="20"/>
          <w:szCs w:val="20"/>
        </w:rP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(m-1) плановая стоимость покупки мощности на основе фактической стоимости покупки мощности за расчетный период (m-2) по всем договорам, заключенным гарантирующим поставщиком в соответствии с </w:t>
      </w:r>
      <w:hyperlink r:id="rId1847" w:history="1">
        <w:r>
          <w:rPr>
            <w:rFonts w:ascii="Arial" w:hAnsi="Arial" w:cs="Arial"/>
            <w:color w:val="0000FF"/>
            <w:sz w:val="20"/>
            <w:szCs w:val="20"/>
          </w:rPr>
          <w:t>Правилами</w:t>
        </w:r>
      </w:hyperlink>
      <w:r>
        <w:rPr>
          <w:rFonts w:ascii="Arial" w:hAnsi="Arial" w:cs="Arial"/>
          <w:sz w:val="20"/>
          <w:szCs w:val="20"/>
        </w:rPr>
        <w:t xml:space="preserve"> оптового рынка электрической энергии и мощности и обеспечивающим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рублей.</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Объемы мощности, приобретаемые гарантирующим поставщиком в рамках свободных договоров купли-продажи (поставки) мощности, свободных договоров купли-продажи (поставки) электрической энергии и мощности, коммерческий оператор оптового рынка при расчете величины </w:t>
      </w:r>
      <w:r>
        <w:rPr>
          <w:rFonts w:ascii="Arial" w:hAnsi="Arial" w:cs="Arial"/>
          <w:noProof/>
          <w:position w:val="-9"/>
          <w:sz w:val="20"/>
          <w:szCs w:val="20"/>
          <w:lang w:eastAsia="ru-RU"/>
        </w:rPr>
        <w:drawing>
          <wp:inline distT="0" distB="0" distL="0" distR="0">
            <wp:extent cx="419100" cy="2381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848"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Pr>
          <w:rFonts w:ascii="Arial" w:hAnsi="Arial" w:cs="Arial"/>
          <w:sz w:val="20"/>
          <w:szCs w:val="20"/>
        </w:rPr>
        <w:t xml:space="preserve"> учитывает в соответствии с договором о присоединении к торговой системе оптового рынка по цене, определенной по результатам конкурентного отбора мощности для покупателей в зоне свободного перетока, к которой относится зона деятельности гарантирующего поставщика (средневзвешенная цена мощности для покупателей в соответствующих зонах свободного перетока, если зона деятельности гарантирующего поставщика расположена в нескольких зонах свободного перетока), с учетом определяемого в соответствии с </w:t>
      </w:r>
      <w:hyperlink r:id="rId1849" w:history="1">
        <w:r>
          <w:rPr>
            <w:rFonts w:ascii="Arial" w:hAnsi="Arial" w:cs="Arial"/>
            <w:color w:val="0000FF"/>
            <w:sz w:val="20"/>
            <w:szCs w:val="20"/>
          </w:rPr>
          <w:t>Правилами</w:t>
        </w:r>
      </w:hyperlink>
      <w:r>
        <w:rPr>
          <w:rFonts w:ascii="Arial" w:hAnsi="Arial" w:cs="Arial"/>
          <w:sz w:val="20"/>
          <w:szCs w:val="20"/>
        </w:rPr>
        <w:t xml:space="preserve"> оптового рынка электрической энергии и мощности сезонного коэффициента для расчетного периода (m-1).</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23. Коэффициент оплаты мощности для соответствующей зоны суток (z) расчетного периода (m) определяется коммерческим оператором по формуле:</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center"/>
        <w:rPr>
          <w:rFonts w:ascii="Arial" w:hAnsi="Arial" w:cs="Arial"/>
          <w:sz w:val="20"/>
          <w:szCs w:val="20"/>
        </w:rPr>
      </w:pPr>
      <w:r>
        <w:rPr>
          <w:rFonts w:ascii="Arial" w:hAnsi="Arial" w:cs="Arial"/>
          <w:noProof/>
          <w:position w:val="-25"/>
          <w:sz w:val="20"/>
          <w:szCs w:val="20"/>
          <w:lang w:eastAsia="ru-RU"/>
        </w:rPr>
        <w:drawing>
          <wp:inline distT="0" distB="0" distL="0" distR="0">
            <wp:extent cx="1457325" cy="4476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850" cstate="print">
                      <a:extLst>
                        <a:ext uri="{28A0092B-C50C-407E-A947-70E740481C1C}">
                          <a14:useLocalDpi xmlns:a14="http://schemas.microsoft.com/office/drawing/2010/main" val="0"/>
                        </a:ext>
                      </a:extLst>
                    </a:blip>
                    <a:srcRect/>
                    <a:stretch>
                      <a:fillRect/>
                    </a:stretch>
                  </pic:blipFill>
                  <pic:spPr bwMode="auto">
                    <a:xfrm>
                      <a:off x="0" y="0"/>
                      <a:ext cx="1457325" cy="447675"/>
                    </a:xfrm>
                    <a:prstGeom prst="rect">
                      <a:avLst/>
                    </a:prstGeom>
                    <a:noFill/>
                    <a:ln>
                      <a:noFill/>
                    </a:ln>
                  </pic:spPr>
                </pic:pic>
              </a:graphicData>
            </a:graphic>
          </wp:inline>
        </w:drawing>
      </w:r>
      <w:r>
        <w:rPr>
          <w:rFonts w:ascii="Arial" w:hAnsi="Arial" w:cs="Arial"/>
          <w:sz w:val="20"/>
          <w:szCs w:val="20"/>
        </w:rPr>
        <w:t>, (57)</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где:</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571500" cy="2571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851"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Pr>
          <w:rFonts w:ascii="Arial" w:hAnsi="Arial" w:cs="Arial"/>
          <w:sz w:val="20"/>
          <w:szCs w:val="20"/>
        </w:rPr>
        <w:t xml:space="preserve"> -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определяемая коммерческим оператором оптового рынка в соответствии с настоящими Правилами,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10"/>
          <w:sz w:val="20"/>
          <w:szCs w:val="20"/>
          <w:lang w:eastAsia="ru-RU"/>
        </w:rPr>
        <w:drawing>
          <wp:inline distT="0" distB="0" distL="0" distR="0">
            <wp:extent cx="447675" cy="2571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1852"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Pr>
          <w:rFonts w:ascii="Arial" w:hAnsi="Arial" w:cs="Arial"/>
          <w:sz w:val="20"/>
          <w:szCs w:val="20"/>
        </w:rPr>
        <w:t xml:space="preserve"> - средневзвешенная нерегулируемая цена на электрическую энергию на оптовом рынке, определяемая коммерческим оператором оптового рынка для соответствующей зоны суток (z) расчетного периода (m) в соответствии с настоящими Правилами, рублей/МВт·ч;</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noProof/>
          <w:position w:val="-9"/>
          <w:sz w:val="20"/>
          <w:szCs w:val="20"/>
          <w:lang w:eastAsia="ru-RU"/>
        </w:rPr>
        <w:drawing>
          <wp:inline distT="0" distB="0" distL="0" distR="0">
            <wp:extent cx="495300" cy="2381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853"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Pr>
          <w:rFonts w:ascii="Arial" w:hAnsi="Arial" w:cs="Arial"/>
          <w:sz w:val="20"/>
          <w:szCs w:val="20"/>
        </w:rP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в соответствии с настоящими Правилами, рублей/МВт.";</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л) </w:t>
      </w:r>
      <w:hyperlink r:id="rId1854" w:history="1">
        <w:r>
          <w:rPr>
            <w:rFonts w:ascii="Arial" w:hAnsi="Arial" w:cs="Arial"/>
            <w:color w:val="0000FF"/>
            <w:sz w:val="20"/>
            <w:szCs w:val="20"/>
          </w:rPr>
          <w:t>раздел IV</w:t>
        </w:r>
      </w:hyperlink>
      <w:r>
        <w:rPr>
          <w:rFonts w:ascii="Arial" w:hAnsi="Arial" w:cs="Arial"/>
          <w:sz w:val="20"/>
          <w:szCs w:val="20"/>
        </w:rPr>
        <w:t xml:space="preserve"> признать утратившим силу;</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м) </w:t>
      </w:r>
      <w:hyperlink r:id="rId1855" w:history="1">
        <w:r>
          <w:rPr>
            <w:rFonts w:ascii="Arial" w:hAnsi="Arial" w:cs="Arial"/>
            <w:color w:val="0000FF"/>
            <w:sz w:val="20"/>
            <w:szCs w:val="20"/>
          </w:rPr>
          <w:t>приложение</w:t>
        </w:r>
      </w:hyperlink>
      <w:r>
        <w:rPr>
          <w:rFonts w:ascii="Arial" w:hAnsi="Arial" w:cs="Arial"/>
          <w:sz w:val="20"/>
          <w:szCs w:val="20"/>
        </w:rPr>
        <w:t xml:space="preserve"> к указанным Правилам изложить в следующей редакции:</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"Приложение</w:t>
      </w:r>
    </w:p>
    <w:p w:rsidR="009F5AFE" w:rsidRDefault="009F5AFE" w:rsidP="009F5AF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к Правилам определения</w:t>
      </w:r>
    </w:p>
    <w:p w:rsidR="009F5AFE" w:rsidRDefault="009F5AFE" w:rsidP="009F5AF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и применения гарантирующими</w:t>
      </w:r>
    </w:p>
    <w:p w:rsidR="009F5AFE" w:rsidRDefault="009F5AFE" w:rsidP="009F5AF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поставщиками нерегулируемых цен</w:t>
      </w:r>
    </w:p>
    <w:p w:rsidR="009F5AFE" w:rsidRDefault="009F5AFE" w:rsidP="009F5AF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на электрическую энергию (мощность)</w:t>
      </w:r>
    </w:p>
    <w:p w:rsidR="009F5AFE" w:rsidRDefault="009F5AFE" w:rsidP="009F5AF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(в редакции постановления</w:t>
      </w:r>
    </w:p>
    <w:p w:rsidR="009F5AFE" w:rsidRDefault="009F5AFE" w:rsidP="009F5AF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lastRenderedPageBreak/>
        <w:t>Правительства Российской Федерации</w:t>
      </w:r>
    </w:p>
    <w:p w:rsidR="009F5AFE" w:rsidRDefault="009F5AFE" w:rsidP="009F5AF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от 4 мая 2012 г. N 442)</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ФОРМА</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публикации данных о предельных уровнях нерегулируемых цен</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на электрическую энергию (мощность) и составляющих предельных</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уровней нерегулируемых цен на электрическую энергию (мощность)</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Предельные   уровни   нерегулируемых   цен   на  электрическую  энергию</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(мощность), поставляемую потребителям (покупателям) _______________________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(наименование</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 в ____________ ____ г.</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гарантирующего поставщика)       (месяц)  (год)</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I. Первая ценовая категория</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(для объемов покупки электрической энергии (мощности),</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учет которых осуществляется в целом за расчетный период)</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1. Предельный уровень нерегулируемых цен</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both"/>
        <w:rPr>
          <w:rFonts w:ascii="Arial" w:hAnsi="Arial" w:cs="Arial"/>
          <w:sz w:val="20"/>
          <w:szCs w:val="20"/>
        </w:rPr>
        <w:sectPr w:rsidR="009F5AFE">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930"/>
        <w:gridCol w:w="1320"/>
        <w:gridCol w:w="1155"/>
        <w:gridCol w:w="1650"/>
        <w:gridCol w:w="1155"/>
      </w:tblGrid>
      <w:tr w:rsidR="009F5AFE">
        <w:tc>
          <w:tcPr>
            <w:tcW w:w="6930" w:type="dxa"/>
            <w:vMerge w:val="restart"/>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5280" w:type="dxa"/>
            <w:gridSpan w:val="4"/>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Уровень напряжения</w:t>
            </w:r>
          </w:p>
        </w:tc>
      </w:tr>
      <w:tr w:rsidR="009F5AFE">
        <w:tc>
          <w:tcPr>
            <w:tcW w:w="6930" w:type="dxa"/>
            <w:vMerge/>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32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ВН</w:t>
            </w: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СН I</w:t>
            </w:r>
          </w:p>
        </w:tc>
        <w:tc>
          <w:tcPr>
            <w:tcW w:w="16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СН II</w:t>
            </w: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НН</w:t>
            </w:r>
          </w:p>
        </w:tc>
      </w:tr>
      <w:tr w:rsidR="009F5AFE">
        <w:tc>
          <w:tcPr>
            <w:tcW w:w="693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Предельный уровень нерегулируемых цен, рублей/МВт·ч без НДС</w:t>
            </w:r>
          </w:p>
        </w:tc>
        <w:tc>
          <w:tcPr>
            <w:tcW w:w="132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6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r>
    </w:tbl>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2.   Средневзвешенная  нерегулируемая  цена  на  электрическую  энергию</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(мощность),  используемая для расчета предельного уровня нерегулируемых цен</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для первой ценовой категории, рублей/МВт·ч без НДС 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3.   Составляющие   расчета  средневзвешенной  нерегулируемой  цены  на</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электрическую  энергию  (мощность),  используемой  для  расчета предельного</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уровня нерегулируемых цен для первой ценовой категории:</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а)  средневзвешенная  нерегулируемая  цена   на  электрическую  энергию  на</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оптовом рынке, рублей/МВт·ч 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б)  средневзвешенная  нерегулируемая цена на  мощность  на  оптовом  рынке,</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рублей/МВт 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в)    коэффициент    оплаты    мощности    потребителями    (покупателями),</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осуществляющими расчеты по первой ценовой категории, 1/час 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г) объем фактического пикового  потребления  гарантирующего  поставщика  на</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оптовом рынке, МВт 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sectPr w:rsidR="009F5AFE">
          <w:pgSz w:w="16838" w:h="11906" w:orient="landscape"/>
          <w:pgMar w:top="1133" w:right="1440" w:bottom="566" w:left="1440" w:header="0" w:footer="0" w:gutter="0"/>
          <w:cols w:space="720"/>
          <w:noEndnote/>
        </w:sect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д)  величина  мощности,   соответствующей   покупке  электрической  энергии</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гарантирующим поставщиком у производителей электрической энергии (мощности)</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на розничных рынках, МВт 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е)   сумма   величин   мощности,    оплачиваемой    на    розничном   рынке</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потребителями  (покупателями),  осуществляющими  расчеты по второй - шестой</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ценовым категориям, МВт 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в том числе:</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 второй ценовой категории, МВт    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 третьей ценовой категории, МВт   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 четвертой ценовой категории, МВт 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 пятой ценовой категории, МВт     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 шестой ценовой категории, МВт    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ж)  объем  потребления  мощности  населением   и   приравненными   к   нему</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категориями потребителей, МВт 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з)    объем     потребления     электрической     энергии     потребителями</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(покупателями),  осуществляющими расчеты по второй ценовой категории, МВт·ч</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в том числе:</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для трех зон суток, МВт·ч        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 ночной зоне суток, МВт·ч      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 полупиковой зоне суток, МВт·ч 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 пиковой зоне суток, МВт·ч     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для двух зон суток, МВт·ч        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 ночной зоне суток, МВт·ч      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 пиковой зоне суток, МВт·ч     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и)  фактический  объем   потребления  электрической  энергии  гарантирующим</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поставщиком на оптовом рынке, МВт·ч 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к)  объем  покупки  электрической   энергии   гарантирующим  поставщиком  у</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производителей  электрической энергии (мощности) на розничных рынках, МВт·ч</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л)   сумма  объемов   потребления   электрической   энергии   потребителями</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(покупателями),   осуществляющими   расчеты  по  второй  -  шестой  ценовым</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категориям, МВт·ч 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в том числе:</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 второй ценовой категории, МВт·ч    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 третьей ценовой категории, МВт·ч   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 четвертой ценовой категории, МВт·ч 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 пятой ценовой категории, МВт·ч     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 шестой ценовой категории, МВт·ч    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м) объем потребления электрической энергии населением  и  приравненными   к</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нему категориями потребителей, МВт·ч 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н) величина изменения средневзвешенной нерегулируемой цены на электрическую</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энергию (мощность), связанная  с  учетом  данных  за  предыдущие  расчетные</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периоды, рублей/МВт·ч &lt;*&gt; 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&lt;*&gt;  В  случае  если величина изменения средневзвешенной нерегулируемой</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цены  на  электрическую  энергию  (мощность)  не  равна нулю, гарантирующий</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поставщик   публикует   также   средневзвешенную   нерегулируемую  цену  на</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электрическую  энергию  (мощность),  используемую  для  расчета предельного</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уровня  нерегулируемых  цен  для  первой  ценовой категории, и составляющие</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расчета  указанной  средневзвешенной  нерегулируемой  цены на электрическую</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энергию  (мощность)  за  все  периоды,  предшествующие  рассматриваемому, в</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которых   изменились   данные,  необходимые  для  расчета  средневзвешенной</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нерегулируемой  цены  на  электрическую  энергию (мощность), по сравнению с</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данными, используемыми для расчета в этих периодах.</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II. Вторая ценовая категория</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(для объемов покупки электрической энергии</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(мощности), учет которых осуществляется по зонам</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суток расчетного периода)</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1.   Предельный   уровень   нерегулируемых  цен  для  трех  зон  суток,</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рублей/МВт·ч без НДС</w:t>
      </w: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both"/>
        <w:rPr>
          <w:rFonts w:ascii="Arial" w:hAnsi="Arial" w:cs="Arial"/>
          <w:sz w:val="20"/>
          <w:szCs w:val="20"/>
        </w:rPr>
        <w:sectPr w:rsidR="009F5AFE">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930"/>
        <w:gridCol w:w="1320"/>
        <w:gridCol w:w="1320"/>
        <w:gridCol w:w="1320"/>
        <w:gridCol w:w="1320"/>
      </w:tblGrid>
      <w:tr w:rsidR="009F5AFE">
        <w:tc>
          <w:tcPr>
            <w:tcW w:w="6930" w:type="dxa"/>
            <w:vMerge w:val="restart"/>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Зоны суток</w:t>
            </w:r>
          </w:p>
        </w:tc>
        <w:tc>
          <w:tcPr>
            <w:tcW w:w="5280" w:type="dxa"/>
            <w:gridSpan w:val="4"/>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Уровень напряжения</w:t>
            </w:r>
          </w:p>
        </w:tc>
      </w:tr>
      <w:tr w:rsidR="009F5AFE">
        <w:tc>
          <w:tcPr>
            <w:tcW w:w="6930" w:type="dxa"/>
            <w:vMerge/>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32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ВН</w:t>
            </w:r>
          </w:p>
        </w:tc>
        <w:tc>
          <w:tcPr>
            <w:tcW w:w="132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СН I</w:t>
            </w:r>
          </w:p>
        </w:tc>
        <w:tc>
          <w:tcPr>
            <w:tcW w:w="132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СН II</w:t>
            </w:r>
          </w:p>
        </w:tc>
        <w:tc>
          <w:tcPr>
            <w:tcW w:w="132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НН</w:t>
            </w:r>
          </w:p>
        </w:tc>
      </w:tr>
      <w:tr w:rsidR="009F5AFE">
        <w:tc>
          <w:tcPr>
            <w:tcW w:w="693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Ночная</w:t>
            </w:r>
          </w:p>
        </w:tc>
        <w:tc>
          <w:tcPr>
            <w:tcW w:w="132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32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32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32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r>
      <w:tr w:rsidR="009F5AFE">
        <w:tc>
          <w:tcPr>
            <w:tcW w:w="693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Полупиковая</w:t>
            </w:r>
          </w:p>
        </w:tc>
        <w:tc>
          <w:tcPr>
            <w:tcW w:w="132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32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32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32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r>
      <w:tr w:rsidR="009F5AFE">
        <w:tc>
          <w:tcPr>
            <w:tcW w:w="693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Пиковая</w:t>
            </w:r>
          </w:p>
        </w:tc>
        <w:tc>
          <w:tcPr>
            <w:tcW w:w="132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32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32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32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r>
    </w:tbl>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2.   Предельный   уровень   нерегулируемых  цен  для  двух  зон  суток,</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рублей/МВт·ч без НДС</w:t>
      </w:r>
    </w:p>
    <w:p w:rsidR="009F5AFE" w:rsidRDefault="009F5AFE" w:rsidP="009F5AFE">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930"/>
        <w:gridCol w:w="1320"/>
        <w:gridCol w:w="1320"/>
        <w:gridCol w:w="1320"/>
        <w:gridCol w:w="1320"/>
      </w:tblGrid>
      <w:tr w:rsidR="009F5AFE">
        <w:tc>
          <w:tcPr>
            <w:tcW w:w="6930" w:type="dxa"/>
            <w:vMerge w:val="restart"/>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Зоны суток</w:t>
            </w:r>
          </w:p>
        </w:tc>
        <w:tc>
          <w:tcPr>
            <w:tcW w:w="5280" w:type="dxa"/>
            <w:gridSpan w:val="4"/>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Уровень напряжения</w:t>
            </w:r>
          </w:p>
        </w:tc>
      </w:tr>
      <w:tr w:rsidR="009F5AFE">
        <w:tc>
          <w:tcPr>
            <w:tcW w:w="6930" w:type="dxa"/>
            <w:vMerge/>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32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ВН</w:t>
            </w:r>
          </w:p>
        </w:tc>
        <w:tc>
          <w:tcPr>
            <w:tcW w:w="132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СН I</w:t>
            </w:r>
          </w:p>
        </w:tc>
        <w:tc>
          <w:tcPr>
            <w:tcW w:w="132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СН II</w:t>
            </w:r>
          </w:p>
        </w:tc>
        <w:tc>
          <w:tcPr>
            <w:tcW w:w="132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НН</w:t>
            </w:r>
          </w:p>
        </w:tc>
      </w:tr>
      <w:tr w:rsidR="009F5AFE">
        <w:tc>
          <w:tcPr>
            <w:tcW w:w="693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Ночная</w:t>
            </w:r>
          </w:p>
        </w:tc>
        <w:tc>
          <w:tcPr>
            <w:tcW w:w="132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32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32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32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r>
      <w:tr w:rsidR="009F5AFE">
        <w:tc>
          <w:tcPr>
            <w:tcW w:w="693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Дневная</w:t>
            </w:r>
          </w:p>
        </w:tc>
        <w:tc>
          <w:tcPr>
            <w:tcW w:w="132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32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32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32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r>
    </w:tbl>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III. Третья ценовая категория</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(для объемов покупки электрической энергии (мощности),</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в отношении которых за расчетный период осуществляется</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почасовой учет, но не осуществляется почасовое планирование,</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а стоимость услуг по передаче электрической энергии</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определяется по тарифу на услуги по передаче электрической</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энергии в одноставочном выражении)</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1.  Ставка  за  электрическую энергию предельного уровня нерегулируемых</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цен, рублей/МВт·ч без НДС</w:t>
      </w:r>
    </w:p>
    <w:p w:rsidR="009F5AFE" w:rsidRDefault="009F5AFE" w:rsidP="009F5AFE">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90"/>
        <w:gridCol w:w="990"/>
        <w:gridCol w:w="990"/>
        <w:gridCol w:w="990"/>
        <w:gridCol w:w="990"/>
        <w:gridCol w:w="990"/>
        <w:gridCol w:w="990"/>
        <w:gridCol w:w="990"/>
        <w:gridCol w:w="990"/>
        <w:gridCol w:w="990"/>
        <w:gridCol w:w="1155"/>
        <w:gridCol w:w="1155"/>
        <w:gridCol w:w="1155"/>
        <w:gridCol w:w="1155"/>
        <w:gridCol w:w="1155"/>
        <w:gridCol w:w="1155"/>
        <w:gridCol w:w="1155"/>
        <w:gridCol w:w="1155"/>
        <w:gridCol w:w="1155"/>
        <w:gridCol w:w="1155"/>
        <w:gridCol w:w="1155"/>
        <w:gridCol w:w="1155"/>
        <w:gridCol w:w="1155"/>
        <w:gridCol w:w="1155"/>
        <w:gridCol w:w="1320"/>
      </w:tblGrid>
      <w:tr w:rsidR="009F5AFE">
        <w:tc>
          <w:tcPr>
            <w:tcW w:w="990" w:type="dxa"/>
            <w:vMerge w:val="restart"/>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Дата</w:t>
            </w:r>
          </w:p>
        </w:tc>
        <w:tc>
          <w:tcPr>
            <w:tcW w:w="26400" w:type="dxa"/>
            <w:gridSpan w:val="24"/>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Ставка для фактических почасовых объемов покупки электрической энергии, отпущенных на уровне напряжения _____ &lt;*&gt;</w:t>
            </w:r>
          </w:p>
        </w:tc>
      </w:tr>
      <w:tr w:rsidR="009F5AFE">
        <w:tc>
          <w:tcPr>
            <w:tcW w:w="990" w:type="dxa"/>
            <w:vMerge/>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0:00 - 1:00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1:00 - 2:00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2:00 - 3:00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3:00 - 4:00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4:00 - 5:00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5:00 - 6:00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6:00 - 7:00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7:00 - 8:00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8:00 - 9:00</w:t>
            </w: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9:00 - 10:00</w:t>
            </w: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10:00 - 11:00</w:t>
            </w: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11:00 - 12:00</w:t>
            </w: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12:00 - 13:00</w:t>
            </w: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13:00 - 14:00</w:t>
            </w: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14:00 - 15:00</w:t>
            </w: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15:00 - 16:00</w:t>
            </w: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16:00 - 17:00</w:t>
            </w: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17:00 - 18:00</w:t>
            </w: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18:00 - 19:00</w:t>
            </w: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19:00 - 20:00</w:t>
            </w: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20:00 - 21:00</w:t>
            </w: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21:00 - 22:00</w:t>
            </w: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22:00 - 23:00</w:t>
            </w:r>
          </w:p>
        </w:tc>
        <w:tc>
          <w:tcPr>
            <w:tcW w:w="1320"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23:00 - 0:00</w:t>
            </w:r>
          </w:p>
        </w:tc>
      </w:tr>
      <w:tr w:rsidR="009F5AFE">
        <w:tc>
          <w:tcPr>
            <w:tcW w:w="990" w:type="dxa"/>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320"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r>
      <w:tr w:rsidR="009F5AFE">
        <w:tc>
          <w:tcPr>
            <w:tcW w:w="990" w:type="dxa"/>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320"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r>
    </w:tbl>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lastRenderedPageBreak/>
        <w:t xml:space="preserve">    &lt;*&gt;  Таблица приводится для каждого уровня напряжения (ВН, СН I, СН II,</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НН).</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2.   Ставка  за  мощность,  приобретаемую  потребителем  (покупателем),</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предельного   уровня   нерегулируемых  цен,  рублей/МВт  в  месяц  без  НДС</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IV. Четвертая ценовая категория</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(для объемов покупки электрической энергии (мощности),</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в отношении которых за расчетный период осуществляется</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почасовой учет, но не осуществляется почасовое планирование,</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а стоимость услуг по передаче электрической энергии</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определяется по тарифу на услуги по передаче</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электрической энергии в двухставочном выражении)</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1.  Ставка  за  электрическую энергию предельного уровня нерегулируемых</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цен, рублей/МВт·ч без НДС</w:t>
      </w:r>
    </w:p>
    <w:p w:rsidR="009F5AFE" w:rsidRDefault="009F5AFE" w:rsidP="009F5AFE">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9F5AFE">
        <w:tc>
          <w:tcPr>
            <w:tcW w:w="990" w:type="dxa"/>
            <w:vMerge w:val="restart"/>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Дата</w:t>
            </w:r>
          </w:p>
        </w:tc>
        <w:tc>
          <w:tcPr>
            <w:tcW w:w="22440" w:type="dxa"/>
            <w:gridSpan w:val="24"/>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Ставка для фактических почасовых объемов покупки электрической энергии, отпущенных на уровне напряжения _____ &lt;*&gt;</w:t>
            </w:r>
          </w:p>
        </w:tc>
      </w:tr>
      <w:tr w:rsidR="009F5AFE">
        <w:tc>
          <w:tcPr>
            <w:tcW w:w="990" w:type="dxa"/>
            <w:vMerge/>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0:00 - 1:00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1:00 - 2:00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2:00 - 3:00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3:00 - 4:00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4:00 - 5:00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5:00 - 6:00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6:00 - 7:00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7:00 - 8:00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8:00 - 9:00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9:00 - 10:00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10:00 - 11:00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11:00 - 12:00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12:00 - 13:00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13:00 - 14:00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14:00 - 15:00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15:00 - 16:00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16:00 - 17:00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17:00 - 18:00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18:00 - 19:00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19:00 - 20:00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20:00 - 21:00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21:00 - 22:00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22:00 - 23:00</w:t>
            </w:r>
          </w:p>
        </w:tc>
        <w:tc>
          <w:tcPr>
            <w:tcW w:w="1155"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23:00 - 0:00</w:t>
            </w:r>
          </w:p>
        </w:tc>
      </w:tr>
      <w:tr w:rsidR="009F5AFE">
        <w:tc>
          <w:tcPr>
            <w:tcW w:w="990" w:type="dxa"/>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1155"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r>
      <w:tr w:rsidR="009F5AFE">
        <w:tc>
          <w:tcPr>
            <w:tcW w:w="990" w:type="dxa"/>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55"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r>
    </w:tbl>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&lt;*&gt;  Таблица приводится для каждого уровня напряжения (ВН, СН I, СН II,</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НН).</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2.   Ставка  за  мощность,  приобретаемую  потребителем  (покупателем),</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предельного   уровня   нерегулируемых  цен,  рублей/МВт  в  месяц  без  НДС</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3.  Дифференцированная по уровням напряжения ставка тарифа на услуги по</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передаче   электрической   энергии   за   содержание   электрических  сетей</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предельного уровня нерегулируемых цен, рублей/МВт в месяц без НДС</w:t>
      </w:r>
    </w:p>
    <w:p w:rsidR="009F5AFE" w:rsidRDefault="009F5AFE" w:rsidP="009F5AFE">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095"/>
        <w:gridCol w:w="1155"/>
        <w:gridCol w:w="1320"/>
        <w:gridCol w:w="1320"/>
        <w:gridCol w:w="1320"/>
      </w:tblGrid>
      <w:tr w:rsidR="009F5AFE">
        <w:tc>
          <w:tcPr>
            <w:tcW w:w="7095" w:type="dxa"/>
            <w:vMerge w:val="restart"/>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5115" w:type="dxa"/>
            <w:gridSpan w:val="4"/>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Уровень напряжения</w:t>
            </w:r>
          </w:p>
        </w:tc>
      </w:tr>
      <w:tr w:rsidR="009F5AFE">
        <w:tc>
          <w:tcPr>
            <w:tcW w:w="7095" w:type="dxa"/>
            <w:vMerge/>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ВН</w:t>
            </w:r>
          </w:p>
        </w:tc>
        <w:tc>
          <w:tcPr>
            <w:tcW w:w="132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СН I</w:t>
            </w:r>
          </w:p>
        </w:tc>
        <w:tc>
          <w:tcPr>
            <w:tcW w:w="132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СН II</w:t>
            </w:r>
          </w:p>
        </w:tc>
        <w:tc>
          <w:tcPr>
            <w:tcW w:w="132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НН</w:t>
            </w:r>
          </w:p>
        </w:tc>
      </w:tr>
      <w:tr w:rsidR="009F5AFE">
        <w:tc>
          <w:tcPr>
            <w:tcW w:w="7095" w:type="dxa"/>
            <w:vMerge/>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32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32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32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r>
      <w:tr w:rsidR="009F5AFE">
        <w:tc>
          <w:tcPr>
            <w:tcW w:w="709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Ставка тарифа на услуги по передаче электрической энергии за содержание электрических сетей</w:t>
            </w: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32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32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32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r>
    </w:tbl>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V. Пятая ценовая категория</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(для объемов покупки электрической энергии (мощности),</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в отношении которых за расчетный период осуществляются</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почасовое планирование и учет, а стоимость услуг</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 передаче электрической энергии определяется</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 тарифу на услуги по передаче электрической</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энергии в одноставочном выражении)</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1.  Ставка  за  электрическую энергию предельного уровня нерегулируемых</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цен, рублей/МВт·ч без НДС</w:t>
      </w:r>
    </w:p>
    <w:p w:rsidR="009F5AFE" w:rsidRDefault="009F5AFE" w:rsidP="009F5AFE">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9F5AFE">
        <w:tc>
          <w:tcPr>
            <w:tcW w:w="990" w:type="dxa"/>
            <w:vMerge w:val="restart"/>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Дата</w:t>
            </w:r>
          </w:p>
        </w:tc>
        <w:tc>
          <w:tcPr>
            <w:tcW w:w="22440" w:type="dxa"/>
            <w:gridSpan w:val="24"/>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Ставка для фактических почасовых объемов покупки электрической энергии, отпущенных на уровне напряжения _____ &lt;*&gt;</w:t>
            </w:r>
          </w:p>
        </w:tc>
      </w:tr>
      <w:tr w:rsidR="009F5AFE">
        <w:tc>
          <w:tcPr>
            <w:tcW w:w="990" w:type="dxa"/>
            <w:vMerge/>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0:00 - 1:00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1:00 - 2:00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2:00 - 3:00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3:00 - 4:00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4:00 - 5:00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5:00 - 6:00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6:00 - 7:00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7:00 - 8:00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8:00 - 9:00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9:00 - 10:00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10:00 - 11:00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11:00 - 12:00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12:00 - 13:00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13:00 - 14:00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14:00 - 15:00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15:00 - 16:00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16:00 - 17:00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17:00 - 18:00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18:00 - 19:00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19:00 - 20:00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20:00 - 21:00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21:00 - 22:00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22:00 - 23:00</w:t>
            </w:r>
          </w:p>
        </w:tc>
        <w:tc>
          <w:tcPr>
            <w:tcW w:w="1155"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23:00 - 0:00</w:t>
            </w:r>
          </w:p>
        </w:tc>
      </w:tr>
      <w:tr w:rsidR="009F5AFE">
        <w:tc>
          <w:tcPr>
            <w:tcW w:w="990" w:type="dxa"/>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55"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r>
      <w:tr w:rsidR="009F5AFE">
        <w:tc>
          <w:tcPr>
            <w:tcW w:w="990" w:type="dxa"/>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55"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r>
    </w:tbl>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&lt;*&gt;  Таблица приводится для каждого уровня напряжения (ВН, СН I, СН II,</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НН).</w:t>
      </w:r>
    </w:p>
    <w:p w:rsidR="009F5AFE" w:rsidRDefault="009F5AFE" w:rsidP="009F5AFE">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9F5AFE">
        <w:tc>
          <w:tcPr>
            <w:tcW w:w="990" w:type="dxa"/>
            <w:vMerge w:val="restart"/>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Дата</w:t>
            </w:r>
          </w:p>
        </w:tc>
        <w:tc>
          <w:tcPr>
            <w:tcW w:w="22440" w:type="dxa"/>
            <w:gridSpan w:val="24"/>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Ставка для превышения фактического почасового объема покупки электрической энергии над соответствующим плановым почасовым объемом</w:t>
            </w:r>
          </w:p>
        </w:tc>
      </w:tr>
      <w:tr w:rsidR="009F5AFE">
        <w:tc>
          <w:tcPr>
            <w:tcW w:w="990" w:type="dxa"/>
            <w:vMerge/>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0:00 - 1:00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1:00 - 2:00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2:00 - 3:00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3:00 - 4:00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4:00 - 5:00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5:00 - 6:00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6:00 - 7:00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7:00 - 8:00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8:00 - 9:00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9:00 - 10:00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10:00 - 11:00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11:00 - 12:00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12:00 - 13:00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13:00 - 14:00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14:00 - 15:00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15:00 - 16:00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16:00 - 17:00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17:00 - 18:00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18:00 - 19:00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19:00 - 20:00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20:00 - 21:00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21:00 - 22:00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22:00 - 23:00</w:t>
            </w:r>
          </w:p>
        </w:tc>
        <w:tc>
          <w:tcPr>
            <w:tcW w:w="1155"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23:00 - 0:00</w:t>
            </w:r>
          </w:p>
        </w:tc>
      </w:tr>
      <w:tr w:rsidR="009F5AFE">
        <w:tc>
          <w:tcPr>
            <w:tcW w:w="990" w:type="dxa"/>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1155"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r>
      <w:tr w:rsidR="009F5AFE">
        <w:tc>
          <w:tcPr>
            <w:tcW w:w="990" w:type="dxa"/>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55"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r>
    </w:tbl>
    <w:p w:rsidR="009F5AFE" w:rsidRDefault="009F5AFE" w:rsidP="009F5AFE">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9F5AFE">
        <w:tc>
          <w:tcPr>
            <w:tcW w:w="990" w:type="dxa"/>
            <w:vMerge w:val="restart"/>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Дата</w:t>
            </w:r>
          </w:p>
        </w:tc>
        <w:tc>
          <w:tcPr>
            <w:tcW w:w="22440" w:type="dxa"/>
            <w:gridSpan w:val="24"/>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Ставка для превышения планового почасового объема покупки электрической энергии над соответствующим фактическим почасовым объемом</w:t>
            </w:r>
          </w:p>
        </w:tc>
      </w:tr>
      <w:tr w:rsidR="009F5AFE">
        <w:tc>
          <w:tcPr>
            <w:tcW w:w="990" w:type="dxa"/>
            <w:vMerge/>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0:00 - </w:t>
            </w:r>
            <w:r>
              <w:rPr>
                <w:rFonts w:ascii="Arial" w:hAnsi="Arial" w:cs="Arial"/>
                <w:sz w:val="20"/>
                <w:szCs w:val="20"/>
              </w:rPr>
              <w:lastRenderedPageBreak/>
              <w:t>1:00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 xml:space="preserve">1:00 - </w:t>
            </w:r>
            <w:r>
              <w:rPr>
                <w:rFonts w:ascii="Arial" w:hAnsi="Arial" w:cs="Arial"/>
                <w:sz w:val="20"/>
                <w:szCs w:val="20"/>
              </w:rPr>
              <w:lastRenderedPageBreak/>
              <w:t>2:00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 xml:space="preserve">2:00 - </w:t>
            </w:r>
            <w:r>
              <w:rPr>
                <w:rFonts w:ascii="Arial" w:hAnsi="Arial" w:cs="Arial"/>
                <w:sz w:val="20"/>
                <w:szCs w:val="20"/>
              </w:rPr>
              <w:lastRenderedPageBreak/>
              <w:t>3:00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 xml:space="preserve">3:00 - </w:t>
            </w:r>
            <w:r>
              <w:rPr>
                <w:rFonts w:ascii="Arial" w:hAnsi="Arial" w:cs="Arial"/>
                <w:sz w:val="20"/>
                <w:szCs w:val="20"/>
              </w:rPr>
              <w:lastRenderedPageBreak/>
              <w:t>4:00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 xml:space="preserve">4:00 - </w:t>
            </w:r>
            <w:r>
              <w:rPr>
                <w:rFonts w:ascii="Arial" w:hAnsi="Arial" w:cs="Arial"/>
                <w:sz w:val="20"/>
                <w:szCs w:val="20"/>
              </w:rPr>
              <w:lastRenderedPageBreak/>
              <w:t>5:00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 xml:space="preserve">5:00 - </w:t>
            </w:r>
            <w:r>
              <w:rPr>
                <w:rFonts w:ascii="Arial" w:hAnsi="Arial" w:cs="Arial"/>
                <w:sz w:val="20"/>
                <w:szCs w:val="20"/>
              </w:rPr>
              <w:lastRenderedPageBreak/>
              <w:t>6:00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 xml:space="preserve">6:00 - </w:t>
            </w:r>
            <w:r>
              <w:rPr>
                <w:rFonts w:ascii="Arial" w:hAnsi="Arial" w:cs="Arial"/>
                <w:sz w:val="20"/>
                <w:szCs w:val="20"/>
              </w:rPr>
              <w:lastRenderedPageBreak/>
              <w:t>7:00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 xml:space="preserve">7:00 - </w:t>
            </w:r>
            <w:r>
              <w:rPr>
                <w:rFonts w:ascii="Arial" w:hAnsi="Arial" w:cs="Arial"/>
                <w:sz w:val="20"/>
                <w:szCs w:val="20"/>
              </w:rPr>
              <w:lastRenderedPageBreak/>
              <w:t>8:00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 xml:space="preserve">8:00 - </w:t>
            </w:r>
            <w:r>
              <w:rPr>
                <w:rFonts w:ascii="Arial" w:hAnsi="Arial" w:cs="Arial"/>
                <w:sz w:val="20"/>
                <w:szCs w:val="20"/>
              </w:rPr>
              <w:lastRenderedPageBreak/>
              <w:t>9:00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 xml:space="preserve">9:00 - </w:t>
            </w:r>
            <w:r>
              <w:rPr>
                <w:rFonts w:ascii="Arial" w:hAnsi="Arial" w:cs="Arial"/>
                <w:sz w:val="20"/>
                <w:szCs w:val="20"/>
              </w:rPr>
              <w:lastRenderedPageBreak/>
              <w:t>10:00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 xml:space="preserve">10:00 - </w:t>
            </w:r>
            <w:r>
              <w:rPr>
                <w:rFonts w:ascii="Arial" w:hAnsi="Arial" w:cs="Arial"/>
                <w:sz w:val="20"/>
                <w:szCs w:val="20"/>
              </w:rPr>
              <w:lastRenderedPageBreak/>
              <w:t>11:00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 xml:space="preserve">11:00 - </w:t>
            </w:r>
            <w:r>
              <w:rPr>
                <w:rFonts w:ascii="Arial" w:hAnsi="Arial" w:cs="Arial"/>
                <w:sz w:val="20"/>
                <w:szCs w:val="20"/>
              </w:rPr>
              <w:lastRenderedPageBreak/>
              <w:t>12:00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 xml:space="preserve">12:00 - </w:t>
            </w:r>
            <w:r>
              <w:rPr>
                <w:rFonts w:ascii="Arial" w:hAnsi="Arial" w:cs="Arial"/>
                <w:sz w:val="20"/>
                <w:szCs w:val="20"/>
              </w:rPr>
              <w:lastRenderedPageBreak/>
              <w:t>13:00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 xml:space="preserve">13:00 - </w:t>
            </w:r>
            <w:r>
              <w:rPr>
                <w:rFonts w:ascii="Arial" w:hAnsi="Arial" w:cs="Arial"/>
                <w:sz w:val="20"/>
                <w:szCs w:val="20"/>
              </w:rPr>
              <w:lastRenderedPageBreak/>
              <w:t>14:00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 xml:space="preserve">14:00 - </w:t>
            </w:r>
            <w:r>
              <w:rPr>
                <w:rFonts w:ascii="Arial" w:hAnsi="Arial" w:cs="Arial"/>
                <w:sz w:val="20"/>
                <w:szCs w:val="20"/>
              </w:rPr>
              <w:lastRenderedPageBreak/>
              <w:t>15:00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 xml:space="preserve">15:00 - </w:t>
            </w:r>
            <w:r>
              <w:rPr>
                <w:rFonts w:ascii="Arial" w:hAnsi="Arial" w:cs="Arial"/>
                <w:sz w:val="20"/>
                <w:szCs w:val="20"/>
              </w:rPr>
              <w:lastRenderedPageBreak/>
              <w:t>16:00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 xml:space="preserve">16:00 - </w:t>
            </w:r>
            <w:r>
              <w:rPr>
                <w:rFonts w:ascii="Arial" w:hAnsi="Arial" w:cs="Arial"/>
                <w:sz w:val="20"/>
                <w:szCs w:val="20"/>
              </w:rPr>
              <w:lastRenderedPageBreak/>
              <w:t>17:00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 xml:space="preserve">17:00 - </w:t>
            </w:r>
            <w:r>
              <w:rPr>
                <w:rFonts w:ascii="Arial" w:hAnsi="Arial" w:cs="Arial"/>
                <w:sz w:val="20"/>
                <w:szCs w:val="20"/>
              </w:rPr>
              <w:lastRenderedPageBreak/>
              <w:t>18:00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 xml:space="preserve">18:00 - </w:t>
            </w:r>
            <w:r>
              <w:rPr>
                <w:rFonts w:ascii="Arial" w:hAnsi="Arial" w:cs="Arial"/>
                <w:sz w:val="20"/>
                <w:szCs w:val="20"/>
              </w:rPr>
              <w:lastRenderedPageBreak/>
              <w:t>19:00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 xml:space="preserve">19:00 - </w:t>
            </w:r>
            <w:r>
              <w:rPr>
                <w:rFonts w:ascii="Arial" w:hAnsi="Arial" w:cs="Arial"/>
                <w:sz w:val="20"/>
                <w:szCs w:val="20"/>
              </w:rPr>
              <w:lastRenderedPageBreak/>
              <w:t>20:00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 xml:space="preserve">20:00 - </w:t>
            </w:r>
            <w:r>
              <w:rPr>
                <w:rFonts w:ascii="Arial" w:hAnsi="Arial" w:cs="Arial"/>
                <w:sz w:val="20"/>
                <w:szCs w:val="20"/>
              </w:rPr>
              <w:lastRenderedPageBreak/>
              <w:t>21:00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 xml:space="preserve">21:00 - </w:t>
            </w:r>
            <w:r>
              <w:rPr>
                <w:rFonts w:ascii="Arial" w:hAnsi="Arial" w:cs="Arial"/>
                <w:sz w:val="20"/>
                <w:szCs w:val="20"/>
              </w:rPr>
              <w:lastRenderedPageBreak/>
              <w:t>22:00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 xml:space="preserve">22:00 - </w:t>
            </w:r>
            <w:r>
              <w:rPr>
                <w:rFonts w:ascii="Arial" w:hAnsi="Arial" w:cs="Arial"/>
                <w:sz w:val="20"/>
                <w:szCs w:val="20"/>
              </w:rPr>
              <w:lastRenderedPageBreak/>
              <w:t>23:00</w:t>
            </w:r>
          </w:p>
        </w:tc>
        <w:tc>
          <w:tcPr>
            <w:tcW w:w="1155"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 xml:space="preserve">23:00 - </w:t>
            </w:r>
            <w:r>
              <w:rPr>
                <w:rFonts w:ascii="Arial" w:hAnsi="Arial" w:cs="Arial"/>
                <w:sz w:val="20"/>
                <w:szCs w:val="20"/>
              </w:rPr>
              <w:lastRenderedPageBreak/>
              <w:t>0:00</w:t>
            </w:r>
          </w:p>
        </w:tc>
      </w:tr>
      <w:tr w:rsidR="009F5AFE">
        <w:tc>
          <w:tcPr>
            <w:tcW w:w="990" w:type="dxa"/>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1</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c>
          <w:tcPr>
            <w:tcW w:w="1155"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p>
        </w:tc>
      </w:tr>
      <w:tr w:rsidR="009F5AFE">
        <w:tc>
          <w:tcPr>
            <w:tcW w:w="990" w:type="dxa"/>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55"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r>
    </w:tbl>
    <w:p w:rsidR="009F5AFE" w:rsidRDefault="009F5AFE" w:rsidP="009F5AFE">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065"/>
        <w:gridCol w:w="2145"/>
      </w:tblGrid>
      <w:tr w:rsidR="009F5AFE">
        <w:tc>
          <w:tcPr>
            <w:tcW w:w="1006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214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Величина ставки</w:t>
            </w:r>
          </w:p>
        </w:tc>
      </w:tr>
      <w:tr w:rsidR="009F5AFE">
        <w:tc>
          <w:tcPr>
            <w:tcW w:w="1006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Ставка для суммы плановых почасовых объемов покупки электрической энергии за расчетный период, рублей/МВт·ч без НДС</w:t>
            </w:r>
          </w:p>
        </w:tc>
        <w:tc>
          <w:tcPr>
            <w:tcW w:w="214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r>
      <w:tr w:rsidR="009F5AFE">
        <w:tc>
          <w:tcPr>
            <w:tcW w:w="1006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214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r>
    </w:tbl>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2.   Ставка  за  мощность,  приобретаемую  потребителем  (покупателем),</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предельного   уровня   нерегулируемых  цен,  рублей/МВт  в  месяц  без  НДС</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VI. Шестая ценовая категория</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(для объемов покупки электрической энергии (мощности),</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в отношении которых за расчетный период осуществляются</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почасовое планирование и учет, а стоимость услуг</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 передаче электрической энергии определяется</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 тарифу на услуги по передаче электрической энергии</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в двухставочном выражении)</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1.  Ставка  за  электрическую энергию предельного уровня нерегулируемых</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цен, рублей/МВт·ч без НДС</w:t>
      </w:r>
    </w:p>
    <w:p w:rsidR="009F5AFE" w:rsidRDefault="009F5AFE" w:rsidP="009F5AFE">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1191"/>
        <w:gridCol w:w="1361"/>
      </w:tblGrid>
      <w:tr w:rsidR="009F5AFE">
        <w:tc>
          <w:tcPr>
            <w:tcW w:w="990" w:type="dxa"/>
            <w:vMerge w:val="restart"/>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Дата</w:t>
            </w:r>
          </w:p>
        </w:tc>
        <w:tc>
          <w:tcPr>
            <w:tcW w:w="22847" w:type="dxa"/>
            <w:gridSpan w:val="24"/>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Ставка для фактических почасовых объемов покупки электрической энергии, отпущенных на уровне напряжения _____ &lt;*&gt;</w:t>
            </w:r>
          </w:p>
        </w:tc>
      </w:tr>
      <w:tr w:rsidR="009F5AFE">
        <w:tc>
          <w:tcPr>
            <w:tcW w:w="990" w:type="dxa"/>
            <w:vMerge/>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0:00 - 1:00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1:00 - 2:00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2:00 - 3:00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3:00 - 4:00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4:00 - 5:00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5:00 - 6:00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6:00 - 7:00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7:00 - 8:00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8:00 - 9:00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9:00 - 10:00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10:00 - 11:00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11:00 - 12:00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12:00 - 13:00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13:00 - 14:00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14:00 - 15:00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15:00 - 16:00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16:00 - 17:00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17:00 - 18:00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18:00 - 19:00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19:00 - 20:00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20:00 - 21:00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21:00 - 22:00</w:t>
            </w:r>
          </w:p>
        </w:tc>
        <w:tc>
          <w:tcPr>
            <w:tcW w:w="1191"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22:00 - 23:00</w:t>
            </w:r>
          </w:p>
        </w:tc>
        <w:tc>
          <w:tcPr>
            <w:tcW w:w="1361"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23:00 - 0:00</w:t>
            </w:r>
          </w:p>
        </w:tc>
      </w:tr>
      <w:tr w:rsidR="009F5AFE">
        <w:tc>
          <w:tcPr>
            <w:tcW w:w="990" w:type="dxa"/>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91"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361"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r>
      <w:tr w:rsidR="009F5AFE">
        <w:tc>
          <w:tcPr>
            <w:tcW w:w="990" w:type="dxa"/>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91"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361"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r>
    </w:tbl>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&lt;*&gt;  Таблица приводится для каждого уровня напряжения (ВН, СН I, СН II,</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НН).</w:t>
      </w:r>
    </w:p>
    <w:p w:rsidR="009F5AFE" w:rsidRDefault="009F5AFE" w:rsidP="009F5AFE">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9F5AFE">
        <w:tc>
          <w:tcPr>
            <w:tcW w:w="990" w:type="dxa"/>
            <w:vMerge w:val="restart"/>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Дата</w:t>
            </w:r>
          </w:p>
        </w:tc>
        <w:tc>
          <w:tcPr>
            <w:tcW w:w="22440" w:type="dxa"/>
            <w:gridSpan w:val="24"/>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Ставка для превышения фактического почасового объема покупки электрической энергии</w:t>
            </w:r>
          </w:p>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над соответствующим плановым почасовым объемом</w:t>
            </w:r>
          </w:p>
        </w:tc>
      </w:tr>
      <w:tr w:rsidR="009F5AFE">
        <w:tc>
          <w:tcPr>
            <w:tcW w:w="990" w:type="dxa"/>
            <w:vMerge/>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0:00 - 1:00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1:00 - 2:00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2:00 - 3:00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3:00 - 4:00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4:00 - 5:00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5:00 - 6:00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6:00 - 7:00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7:00 - 8:00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8:00 - 9:00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9:00 - 10:00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10:00 - 11:00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11:00 - 12:00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12:00 - 13:00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13:00 - 14:00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14:00 - 15:00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15:00 - 16:00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16:00 - 17:00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17:00 - 18:00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18:00 - 19:00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19:00 - 20:00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20:00 - 21:00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21:00 - 22:00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22:00 - 23:00</w:t>
            </w:r>
          </w:p>
        </w:tc>
        <w:tc>
          <w:tcPr>
            <w:tcW w:w="1155"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23:00 - 0:00</w:t>
            </w:r>
          </w:p>
        </w:tc>
      </w:tr>
      <w:tr w:rsidR="009F5AFE">
        <w:tc>
          <w:tcPr>
            <w:tcW w:w="990" w:type="dxa"/>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55"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r>
      <w:tr w:rsidR="009F5AFE">
        <w:tc>
          <w:tcPr>
            <w:tcW w:w="990" w:type="dxa"/>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55"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r>
    </w:tbl>
    <w:p w:rsidR="009F5AFE" w:rsidRDefault="009F5AFE" w:rsidP="009F5AFE">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9F5AFE">
        <w:tc>
          <w:tcPr>
            <w:tcW w:w="990" w:type="dxa"/>
            <w:vMerge w:val="restart"/>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Дата</w:t>
            </w:r>
          </w:p>
        </w:tc>
        <w:tc>
          <w:tcPr>
            <w:tcW w:w="22440" w:type="dxa"/>
            <w:gridSpan w:val="24"/>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Ставка для превышения планового почасового объема покупки электрической энергии</w:t>
            </w:r>
          </w:p>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над соответствующим фактическим почасовым объемом</w:t>
            </w:r>
          </w:p>
        </w:tc>
      </w:tr>
      <w:tr w:rsidR="009F5AFE">
        <w:tc>
          <w:tcPr>
            <w:tcW w:w="990" w:type="dxa"/>
            <w:vMerge/>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0:00 - 1:00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1:00 - 2:00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2:00 - 3:00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3:00 - 4:00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4:00 - 5:00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5:00 - 6:00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6:00 - 7:00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7:00 - 8:00</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8:00 - 9:00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9:00 - 10:00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10:00 - 11:00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11:00 - 12:00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12:00 - 13:00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13:00 - 14:00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14:00 - 15:00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15:00 - 16:00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16:00 - 17:00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17:00 - 18:00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18:00 - 19:00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19:00 - 20:00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20:00 - 21:00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21:00 - 22:00</w:t>
            </w: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22:00 - 23:00</w:t>
            </w:r>
          </w:p>
        </w:tc>
        <w:tc>
          <w:tcPr>
            <w:tcW w:w="1155"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23:00 - 0:00</w:t>
            </w:r>
          </w:p>
        </w:tc>
      </w:tr>
      <w:tr w:rsidR="009F5AFE">
        <w:tc>
          <w:tcPr>
            <w:tcW w:w="990" w:type="dxa"/>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55"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r>
      <w:tr w:rsidR="009F5AFE">
        <w:tc>
          <w:tcPr>
            <w:tcW w:w="990" w:type="dxa"/>
            <w:tcBorders>
              <w:top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82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55" w:type="dxa"/>
            <w:tcBorders>
              <w:top w:val="single" w:sz="4" w:space="0" w:color="auto"/>
              <w:left w:val="single" w:sz="4" w:space="0" w:color="auto"/>
              <w:bottom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r>
    </w:tbl>
    <w:p w:rsidR="009F5AFE" w:rsidRDefault="009F5AFE" w:rsidP="009F5AFE">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065"/>
        <w:gridCol w:w="2145"/>
      </w:tblGrid>
      <w:tr w:rsidR="009F5AFE">
        <w:tc>
          <w:tcPr>
            <w:tcW w:w="1006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Ставка для суммы плановых почасовых объемов покупки электрической энергии за расчетный период, рублей/МВт·ч без НДС</w:t>
            </w:r>
          </w:p>
        </w:tc>
        <w:tc>
          <w:tcPr>
            <w:tcW w:w="214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r>
      <w:tr w:rsidR="009F5AFE">
        <w:tc>
          <w:tcPr>
            <w:tcW w:w="1006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214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r>
    </w:tbl>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2.   Ставка  за  мощность,  приобретаемую  потребителем  (покупателем),</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предельного   уровня   нерегулируемых  цен,  рублей/МВт  в  месяц  без  НДС</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3.  Дифференцированная по уровням напряжения ставка тарифа на услуги по</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передаче   электрической   энергии   за   содержание   электрических  сетей</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предельного уровня нерегулируемых цен, рублей/МВт в месяц без НДС</w:t>
      </w:r>
    </w:p>
    <w:p w:rsidR="009F5AFE" w:rsidRDefault="009F5AFE" w:rsidP="009F5AFE">
      <w:pPr>
        <w:autoSpaceDE w:val="0"/>
        <w:autoSpaceDN w:val="0"/>
        <w:adjustRightInd w:val="0"/>
        <w:spacing w:after="0" w:line="240" w:lineRule="auto"/>
        <w:jc w:val="both"/>
        <w:rPr>
          <w:rFonts w:ascii="Arial" w:hAnsi="Arial" w:cs="Arial"/>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600"/>
        <w:gridCol w:w="1650"/>
        <w:gridCol w:w="1485"/>
        <w:gridCol w:w="1485"/>
        <w:gridCol w:w="1155"/>
      </w:tblGrid>
      <w:tr w:rsidR="009F5AFE">
        <w:tc>
          <w:tcPr>
            <w:tcW w:w="6600" w:type="dxa"/>
            <w:vMerge w:val="restart"/>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5775" w:type="dxa"/>
            <w:gridSpan w:val="4"/>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Уровень напряжения</w:t>
            </w:r>
          </w:p>
        </w:tc>
      </w:tr>
      <w:tr w:rsidR="009F5AFE">
        <w:tc>
          <w:tcPr>
            <w:tcW w:w="6600" w:type="dxa"/>
            <w:vMerge/>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6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ВН</w:t>
            </w:r>
          </w:p>
        </w:tc>
        <w:tc>
          <w:tcPr>
            <w:tcW w:w="148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СН I</w:t>
            </w:r>
          </w:p>
        </w:tc>
        <w:tc>
          <w:tcPr>
            <w:tcW w:w="148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СН II</w:t>
            </w: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НН</w:t>
            </w:r>
          </w:p>
        </w:tc>
      </w:tr>
      <w:tr w:rsidR="009F5AFE">
        <w:tc>
          <w:tcPr>
            <w:tcW w:w="660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rPr>
                <w:rFonts w:ascii="Arial" w:hAnsi="Arial" w:cs="Arial"/>
                <w:sz w:val="20"/>
                <w:szCs w:val="20"/>
              </w:rPr>
            </w:pPr>
            <w:r>
              <w:rPr>
                <w:rFonts w:ascii="Arial" w:hAnsi="Arial" w:cs="Arial"/>
                <w:sz w:val="20"/>
                <w:szCs w:val="20"/>
              </w:rPr>
              <w:t>Ставка тарифа на услуги по передаче электрической энергии за содержание электрических сетей</w:t>
            </w:r>
          </w:p>
        </w:tc>
        <w:tc>
          <w:tcPr>
            <w:tcW w:w="1650"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48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48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c>
          <w:tcPr>
            <w:tcW w:w="1155" w:type="dxa"/>
            <w:tcBorders>
              <w:top w:val="single" w:sz="4" w:space="0" w:color="auto"/>
              <w:left w:val="single" w:sz="4" w:space="0" w:color="auto"/>
              <w:bottom w:val="single" w:sz="4" w:space="0" w:color="auto"/>
              <w:right w:val="single" w:sz="4" w:space="0" w:color="auto"/>
            </w:tcBorders>
          </w:tcPr>
          <w:p w:rsidR="009F5AFE" w:rsidRDefault="009F5AFE">
            <w:pPr>
              <w:autoSpaceDE w:val="0"/>
              <w:autoSpaceDN w:val="0"/>
              <w:adjustRightInd w:val="0"/>
              <w:spacing w:after="0" w:line="240" w:lineRule="auto"/>
              <w:jc w:val="both"/>
              <w:rPr>
                <w:rFonts w:ascii="Arial" w:hAnsi="Arial" w:cs="Arial"/>
                <w:sz w:val="20"/>
                <w:szCs w:val="20"/>
              </w:rPr>
            </w:pPr>
          </w:p>
        </w:tc>
      </w:tr>
    </w:tbl>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w:t>
      </w:r>
    </w:p>
    <w:p w:rsidR="009F5AFE" w:rsidRDefault="009F5AFE" w:rsidP="009F5AFE">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sectPr w:rsidR="009F5AFE">
          <w:pgSz w:w="16838" w:h="11906" w:orient="landscape"/>
          <w:pgMar w:top="1133" w:right="1440" w:bottom="566" w:left="1440" w:header="0" w:footer="0" w:gutter="0"/>
          <w:cols w:space="720"/>
          <w:noEndnote/>
        </w:sectPr>
      </w:pP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jc w:val="right"/>
        <w:outlineLvl w:val="0"/>
        <w:rPr>
          <w:rFonts w:ascii="Arial" w:hAnsi="Arial" w:cs="Arial"/>
          <w:sz w:val="20"/>
          <w:szCs w:val="20"/>
        </w:rPr>
      </w:pPr>
      <w:r>
        <w:rPr>
          <w:rFonts w:ascii="Arial" w:hAnsi="Arial" w:cs="Arial"/>
          <w:sz w:val="20"/>
          <w:szCs w:val="20"/>
        </w:rPr>
        <w:t>Приложение</w:t>
      </w:r>
    </w:p>
    <w:p w:rsidR="009F5AFE" w:rsidRDefault="009F5AFE" w:rsidP="009F5AF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к постановлению Правительства</w:t>
      </w:r>
    </w:p>
    <w:p w:rsidR="009F5AFE" w:rsidRDefault="009F5AFE" w:rsidP="009F5AF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Российской Федерации</w:t>
      </w:r>
    </w:p>
    <w:p w:rsidR="009F5AFE" w:rsidRDefault="009F5AFE" w:rsidP="009F5AFE">
      <w:pPr>
        <w:autoSpaceDE w:val="0"/>
        <w:autoSpaceDN w:val="0"/>
        <w:adjustRightInd w:val="0"/>
        <w:spacing w:after="0" w:line="240" w:lineRule="auto"/>
        <w:jc w:val="right"/>
        <w:rPr>
          <w:rFonts w:ascii="Arial" w:hAnsi="Arial" w:cs="Arial"/>
          <w:sz w:val="20"/>
          <w:szCs w:val="20"/>
        </w:rPr>
      </w:pPr>
      <w:r>
        <w:rPr>
          <w:rFonts w:ascii="Arial" w:hAnsi="Arial" w:cs="Arial"/>
          <w:sz w:val="20"/>
          <w:szCs w:val="20"/>
        </w:rPr>
        <w:t>от 4 мая 2012 г. N 442</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bookmarkStart w:id="320" w:name="Par6065"/>
      <w:bookmarkEnd w:id="320"/>
      <w:r>
        <w:rPr>
          <w:rFonts w:ascii="Arial" w:eastAsiaTheme="minorHAnsi" w:hAnsi="Arial" w:cs="Arial"/>
          <w:color w:val="auto"/>
          <w:sz w:val="20"/>
          <w:szCs w:val="20"/>
        </w:rPr>
        <w:t>ПЕРЕЧЕНЬ</w:t>
      </w:r>
    </w:p>
    <w:p w:rsidR="009F5AFE" w:rsidRDefault="009F5AFE" w:rsidP="009F5AFE">
      <w:pPr>
        <w:keepNext w:val="0"/>
        <w:keepLines w:val="0"/>
        <w:autoSpaceDE w:val="0"/>
        <w:autoSpaceDN w:val="0"/>
        <w:adjustRightInd w:val="0"/>
        <w:spacing w:before="0" w:line="240" w:lineRule="auto"/>
        <w:jc w:val="center"/>
        <w:rPr>
          <w:rFonts w:ascii="Arial" w:eastAsiaTheme="minorHAnsi" w:hAnsi="Arial" w:cs="Arial"/>
          <w:color w:val="auto"/>
          <w:sz w:val="20"/>
          <w:szCs w:val="20"/>
        </w:rPr>
      </w:pPr>
      <w:r>
        <w:rPr>
          <w:rFonts w:ascii="Arial" w:eastAsiaTheme="minorHAnsi" w:hAnsi="Arial" w:cs="Arial"/>
          <w:color w:val="auto"/>
          <w:sz w:val="20"/>
          <w:szCs w:val="20"/>
        </w:rPr>
        <w:t>УТРАТИВШИХ СИЛУ АКТОВ ПРАВИТЕЛЬСТВА РОССИЙСКОЙ ФЕДЕРАЦИИ</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r>
        <w:rPr>
          <w:rFonts w:ascii="Arial" w:hAnsi="Arial" w:cs="Arial"/>
          <w:sz w:val="20"/>
          <w:szCs w:val="20"/>
        </w:rPr>
        <w:t xml:space="preserve">1. </w:t>
      </w:r>
      <w:hyperlink r:id="rId1856" w:history="1">
        <w:r>
          <w:rPr>
            <w:rFonts w:ascii="Arial" w:hAnsi="Arial" w:cs="Arial"/>
            <w:color w:val="0000FF"/>
            <w:sz w:val="20"/>
            <w:szCs w:val="20"/>
          </w:rPr>
          <w:t>Постановление</w:t>
        </w:r>
      </w:hyperlink>
      <w:r>
        <w:rPr>
          <w:rFonts w:ascii="Arial" w:hAnsi="Arial" w:cs="Arial"/>
          <w:sz w:val="20"/>
          <w:szCs w:val="20"/>
        </w:rPr>
        <w:t xml:space="preserve"> Правительства Российской Федерации от 31 августа 2006 г. N 530 "Об утверждении основных положений функционирования розничных рынков электрической энергии" (Собрание законодательства Российской Федерации, 2006, N 37, ст. 3876).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2. </w:t>
      </w:r>
      <w:hyperlink r:id="rId1857" w:history="1">
        <w:r>
          <w:rPr>
            <w:rFonts w:ascii="Arial" w:hAnsi="Arial" w:cs="Arial"/>
            <w:color w:val="0000FF"/>
            <w:sz w:val="20"/>
            <w:szCs w:val="20"/>
          </w:rPr>
          <w:t>Постановление</w:t>
        </w:r>
      </w:hyperlink>
      <w:r>
        <w:rPr>
          <w:rFonts w:ascii="Arial" w:hAnsi="Arial" w:cs="Arial"/>
          <w:sz w:val="20"/>
          <w:szCs w:val="20"/>
        </w:rPr>
        <w:t xml:space="preserve"> Правительства Российской Федерации от 16 июля 2007 г. N 450 "О внесении изменений в постановление Правительства Российской Федерации от 31 августа 2006 г. N 530 "Об утверждении Правил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2007, N 30, ст. 3940).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3. </w:t>
      </w:r>
      <w:hyperlink r:id="rId1858" w:history="1">
        <w:r>
          <w:rPr>
            <w:rFonts w:ascii="Arial" w:hAnsi="Arial" w:cs="Arial"/>
            <w:color w:val="0000FF"/>
            <w:sz w:val="20"/>
            <w:szCs w:val="20"/>
          </w:rPr>
          <w:t>Пункт 3</w:t>
        </w:r>
      </w:hyperlink>
      <w:r>
        <w:rPr>
          <w:rFonts w:ascii="Arial" w:hAnsi="Arial" w:cs="Arial"/>
          <w:sz w:val="20"/>
          <w:szCs w:val="20"/>
        </w:rPr>
        <w:t xml:space="preserve"> изменений, которые вносятся в постановления Правительства Российской Федерации в связи с определением особенностей функционирования оптового рынка электрической энергии (мощности) в переходный период на территориях, не объединенных в ценовые зоны, утвержденных постановлением Правительства Российской Федерации от 29 декабря 2007 г. N 951 (Собрание законодательства Российской Федерации, 2008, N 2, ст. 84).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4. </w:t>
      </w:r>
      <w:hyperlink r:id="rId1859" w:history="1">
        <w:r>
          <w:rPr>
            <w:rFonts w:ascii="Arial" w:hAnsi="Arial" w:cs="Arial"/>
            <w:color w:val="0000FF"/>
            <w:sz w:val="20"/>
            <w:szCs w:val="20"/>
          </w:rPr>
          <w:t>Постановление</w:t>
        </w:r>
      </w:hyperlink>
      <w:r>
        <w:rPr>
          <w:rFonts w:ascii="Arial" w:hAnsi="Arial" w:cs="Arial"/>
          <w:sz w:val="20"/>
          <w:szCs w:val="20"/>
        </w:rPr>
        <w:t xml:space="preserve"> Правительства Российской Федерации от 29 декабря 2007 г. N 996 "О внесении изменений в отдельные постановления Правительства Российской Федерации по вопросам организации деятельности гарантирующих поставщиков электрической энергии" (Собрание законодательства Российской Федерации, 2008, N 3, ст. 182).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5. </w:t>
      </w:r>
      <w:hyperlink r:id="rId1860" w:history="1">
        <w:r>
          <w:rPr>
            <w:rFonts w:ascii="Arial" w:hAnsi="Arial" w:cs="Arial"/>
            <w:color w:val="0000FF"/>
            <w:sz w:val="20"/>
            <w:szCs w:val="20"/>
          </w:rPr>
          <w:t>Пункт 3</w:t>
        </w:r>
      </w:hyperlink>
      <w:r>
        <w:rPr>
          <w:rFonts w:ascii="Arial" w:hAnsi="Arial" w:cs="Arial"/>
          <w:sz w:val="20"/>
          <w:szCs w:val="20"/>
        </w:rPr>
        <w:t xml:space="preserve"> изменений, которые вносятся в постановления Правительства Российской Федерации по вопросам организации конкурентной торговли генерирующей мощностью на оптовом рынке электрической энергии (мощности), утвержденных постановлением Правительства Российской Федерации от 28 июня 2008 г. N 476 (Собрание законодательства Российской Федерации, 2008, N 27, ст. 3285).</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6. </w:t>
      </w:r>
      <w:hyperlink r:id="rId1861" w:history="1">
        <w:r>
          <w:rPr>
            <w:rFonts w:ascii="Arial" w:hAnsi="Arial" w:cs="Arial"/>
            <w:color w:val="0000FF"/>
            <w:sz w:val="20"/>
            <w:szCs w:val="20"/>
          </w:rPr>
          <w:t>Постановление</w:t>
        </w:r>
      </w:hyperlink>
      <w:r>
        <w:rPr>
          <w:rFonts w:ascii="Arial" w:hAnsi="Arial" w:cs="Arial"/>
          <w:sz w:val="20"/>
          <w:szCs w:val="20"/>
        </w:rPr>
        <w:t xml:space="preserve"> Правительства Российской Федерации от 17 марта 2009 г. N 240 "О внесении изменений в Правила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2009, N 12, ст. 1441).</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7. </w:t>
      </w:r>
      <w:hyperlink r:id="rId1862" w:history="1">
        <w:r>
          <w:rPr>
            <w:rFonts w:ascii="Arial" w:hAnsi="Arial" w:cs="Arial"/>
            <w:color w:val="0000FF"/>
            <w:sz w:val="20"/>
            <w:szCs w:val="20"/>
          </w:rPr>
          <w:t>Подпункт "в" пункта 2</w:t>
        </w:r>
      </w:hyperlink>
      <w:r>
        <w:rPr>
          <w:rFonts w:ascii="Arial" w:hAnsi="Arial" w:cs="Arial"/>
          <w:sz w:val="20"/>
          <w:szCs w:val="20"/>
        </w:rPr>
        <w:t xml:space="preserve"> изменений, которые вносятся в акты Правительства Российской Федерации по вопросам совершенствования порядка технологического присоединения потребителей к электрическим сетям, утвержденных постановлением Правительства Российской Федерации от 21 апреля 2009 г. N 334 (Собрание законодательства Российской Федерации, 2009, N 17, ст. 2088), в части раздела VI.</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8. </w:t>
      </w:r>
      <w:hyperlink r:id="rId1863" w:history="1">
        <w:r>
          <w:rPr>
            <w:rFonts w:ascii="Arial" w:hAnsi="Arial" w:cs="Arial"/>
            <w:color w:val="0000FF"/>
            <w:sz w:val="20"/>
            <w:szCs w:val="20"/>
          </w:rPr>
          <w:t>Постановление</w:t>
        </w:r>
      </w:hyperlink>
      <w:r>
        <w:rPr>
          <w:rFonts w:ascii="Arial" w:hAnsi="Arial" w:cs="Arial"/>
          <w:sz w:val="20"/>
          <w:szCs w:val="20"/>
        </w:rPr>
        <w:t xml:space="preserve"> Правительства Российской Федерации от 10 мая 2009 г. N 411 "О внесении изменений в Правила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2009, N 20, ст. 2475).</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9. </w:t>
      </w:r>
      <w:hyperlink r:id="rId1864" w:history="1">
        <w:r>
          <w:rPr>
            <w:rFonts w:ascii="Arial" w:hAnsi="Arial" w:cs="Arial"/>
            <w:color w:val="0000FF"/>
            <w:sz w:val="20"/>
            <w:szCs w:val="20"/>
          </w:rPr>
          <w:t>Подпункт "б" пункта 1</w:t>
        </w:r>
      </w:hyperlink>
      <w:r>
        <w:rPr>
          <w:rFonts w:ascii="Arial" w:hAnsi="Arial" w:cs="Arial"/>
          <w:sz w:val="20"/>
          <w:szCs w:val="20"/>
        </w:rPr>
        <w:t xml:space="preserve"> и </w:t>
      </w:r>
      <w:hyperlink r:id="rId1865" w:history="1">
        <w:r>
          <w:rPr>
            <w:rFonts w:ascii="Arial" w:hAnsi="Arial" w:cs="Arial"/>
            <w:color w:val="0000FF"/>
            <w:sz w:val="20"/>
            <w:szCs w:val="20"/>
          </w:rPr>
          <w:t>пункт 2</w:t>
        </w:r>
      </w:hyperlink>
      <w:r>
        <w:rPr>
          <w:rFonts w:ascii="Arial" w:hAnsi="Arial" w:cs="Arial"/>
          <w:sz w:val="20"/>
          <w:szCs w:val="20"/>
        </w:rPr>
        <w:t xml:space="preserve"> изменений, которые вносятся в акты Правительства Российской Федерации по вопросам функционирования розничных рынков электрической энергии, утвержденных постановлением Правительства Российской Федерации от 2 октября 2009 г. N 785 (Собрание законодательства Российской Федерации, 2009, N 41, ст. 4771).</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10. </w:t>
      </w:r>
      <w:hyperlink r:id="rId1866" w:history="1">
        <w:r>
          <w:rPr>
            <w:rFonts w:ascii="Arial" w:hAnsi="Arial" w:cs="Arial"/>
            <w:color w:val="0000FF"/>
            <w:sz w:val="20"/>
            <w:szCs w:val="20"/>
          </w:rPr>
          <w:t>Пункт 3</w:t>
        </w:r>
      </w:hyperlink>
      <w:r>
        <w:rPr>
          <w:rFonts w:ascii="Arial" w:hAnsi="Arial" w:cs="Arial"/>
          <w:sz w:val="20"/>
          <w:szCs w:val="20"/>
        </w:rPr>
        <w:t xml:space="preserve"> изменений, которые вносятся в акты Правительства Российской Федерации в части совершенствования порядка расчетов за электрическую энергию (мощность), тепловую энергию и </w:t>
      </w:r>
      <w:r>
        <w:rPr>
          <w:rFonts w:ascii="Arial" w:hAnsi="Arial" w:cs="Arial"/>
          <w:sz w:val="20"/>
          <w:szCs w:val="20"/>
        </w:rPr>
        <w:lastRenderedPageBreak/>
        <w:t>природный газ, утвержденных постановлением Правительства Российской Федерации от 17 октября 2009 г. N 816 (Собрание законодательства Российской Федерации, 2009, N 43, ст. 5066).</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11. </w:t>
      </w:r>
      <w:hyperlink r:id="rId1867" w:history="1">
        <w:r>
          <w:rPr>
            <w:rFonts w:ascii="Arial" w:hAnsi="Arial" w:cs="Arial"/>
            <w:color w:val="0000FF"/>
            <w:sz w:val="20"/>
            <w:szCs w:val="20"/>
          </w:rPr>
          <w:t>Постановление</w:t>
        </w:r>
      </w:hyperlink>
      <w:r>
        <w:rPr>
          <w:rFonts w:ascii="Arial" w:hAnsi="Arial" w:cs="Arial"/>
          <w:sz w:val="20"/>
          <w:szCs w:val="20"/>
        </w:rPr>
        <w:t xml:space="preserve"> Правительства Российской Федерации от 26 февраля 2010 г. N 94 "О внесении изменения в пункт 62 Правил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2010, N 10, ст. 1082).</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12. </w:t>
      </w:r>
      <w:hyperlink r:id="rId1868" w:history="1">
        <w:r>
          <w:rPr>
            <w:rFonts w:ascii="Arial" w:hAnsi="Arial" w:cs="Arial"/>
            <w:color w:val="0000FF"/>
            <w:sz w:val="20"/>
            <w:szCs w:val="20"/>
          </w:rPr>
          <w:t>Пункт 3</w:t>
        </w:r>
      </w:hyperlink>
      <w:r>
        <w:rPr>
          <w:rFonts w:ascii="Arial" w:hAnsi="Arial" w:cs="Arial"/>
          <w:sz w:val="20"/>
          <w:szCs w:val="20"/>
        </w:rPr>
        <w:t xml:space="preserve"> изменений, которые вносятся в акты Правительства Российской Федерации в связи с определением особенностей расчета стоимости электрической энергии (мощности) для потребителей в переходный период на территориях, не объединенных в ценовые зоны оптового рынка, утвержденных постановлением Правительства Российской Федерации от 15 мая 2010 г. N 344 (Собрание законодательства Российской Федерации, 2010, N 21, ст. 2610).</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13. </w:t>
      </w:r>
      <w:hyperlink r:id="rId1869" w:history="1">
        <w:r>
          <w:rPr>
            <w:rFonts w:ascii="Arial" w:hAnsi="Arial" w:cs="Arial"/>
            <w:color w:val="0000FF"/>
            <w:sz w:val="20"/>
            <w:szCs w:val="20"/>
          </w:rPr>
          <w:t>Пункт 3</w:t>
        </w:r>
      </w:hyperlink>
      <w:r>
        <w:rPr>
          <w:rFonts w:ascii="Arial" w:hAnsi="Arial" w:cs="Arial"/>
          <w:sz w:val="20"/>
          <w:szCs w:val="20"/>
        </w:rPr>
        <w:t xml:space="preserve"> изменений, которые вносятся в акты Правительства Российской Федерации по вопросу определения особенностей расположения точек поставки для единого хозяйствующего субъекта на железнодорожном транспорте на оптовом и розничном рынках электрической энергии (мощности), утвержденных постановлением Правительства Российской Федерации от 9 июня 2010 г. N 416 (Собрание законодательства Российской Федерации, 2010, N 25, ст. 3175).</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14. </w:t>
      </w:r>
      <w:hyperlink r:id="rId1870" w:history="1">
        <w:r>
          <w:rPr>
            <w:rFonts w:ascii="Arial" w:hAnsi="Arial" w:cs="Arial"/>
            <w:color w:val="0000FF"/>
            <w:sz w:val="20"/>
            <w:szCs w:val="20"/>
          </w:rPr>
          <w:t>Постановление</w:t>
        </w:r>
      </w:hyperlink>
      <w:r>
        <w:rPr>
          <w:rFonts w:ascii="Arial" w:hAnsi="Arial" w:cs="Arial"/>
          <w:sz w:val="20"/>
          <w:szCs w:val="20"/>
        </w:rPr>
        <w:t xml:space="preserve"> Правительства Российской Федерации от 27 ноября 2010 г. N 944 "О внесении изменения в перечень потребителей электрической энергии (отдельных объектов), ограничение режима потребления электрической энергии которых ниже уровня аварийной брони не допускается" (Собрание законодательства Российской Федерации, 2010, N 49, ст. 6521).</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15. </w:t>
      </w:r>
      <w:hyperlink r:id="rId1871" w:history="1">
        <w:r>
          <w:rPr>
            <w:rFonts w:ascii="Arial" w:hAnsi="Arial" w:cs="Arial"/>
            <w:color w:val="0000FF"/>
            <w:sz w:val="20"/>
            <w:szCs w:val="20"/>
          </w:rPr>
          <w:t>Пункт 2</w:t>
        </w:r>
      </w:hyperlink>
      <w:r>
        <w:rPr>
          <w:rFonts w:ascii="Arial" w:hAnsi="Arial" w:cs="Arial"/>
          <w:sz w:val="20"/>
          <w:szCs w:val="20"/>
        </w:rPr>
        <w:t xml:space="preserve"> изменений, которые вносятся в акты Правительства Российской Федерации по вопросам функционирования розничных рынков электрической энергии, утвержденных постановлением Правительства Российской Федерации от 31 декабря 2010 г. N 1242 (Собрание законодательства Российской Федерации, 2011, N 11, ст. 1524).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16. </w:t>
      </w:r>
      <w:hyperlink r:id="rId1872" w:history="1">
        <w:r>
          <w:rPr>
            <w:rFonts w:ascii="Arial" w:hAnsi="Arial" w:cs="Arial"/>
            <w:color w:val="0000FF"/>
            <w:sz w:val="20"/>
            <w:szCs w:val="20"/>
          </w:rPr>
          <w:t>Пункт 4</w:t>
        </w:r>
      </w:hyperlink>
      <w:r>
        <w:rPr>
          <w:rFonts w:ascii="Arial" w:hAnsi="Arial" w:cs="Arial"/>
          <w:sz w:val="20"/>
          <w:szCs w:val="20"/>
        </w:rPr>
        <w:t xml:space="preserve"> изменений, которые вносятся в акты Правительства Российской Федерации по вопросам предоставления коммунальных услуг, утвержденных постановлением Правительства Российской Федерации от 6 мая 2011 г. N 354 (Собрание законодательства Российской Федерации, 2011, N 22, ст. 3168).</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17. </w:t>
      </w:r>
      <w:hyperlink r:id="rId1873" w:history="1">
        <w:r>
          <w:rPr>
            <w:rFonts w:ascii="Arial" w:hAnsi="Arial" w:cs="Arial"/>
            <w:color w:val="0000FF"/>
            <w:sz w:val="20"/>
            <w:szCs w:val="20"/>
          </w:rPr>
          <w:t>Постановление</w:t>
        </w:r>
      </w:hyperlink>
      <w:r>
        <w:rPr>
          <w:rFonts w:ascii="Arial" w:hAnsi="Arial" w:cs="Arial"/>
          <w:sz w:val="20"/>
          <w:szCs w:val="20"/>
        </w:rPr>
        <w:t xml:space="preserve"> Правительства Российской Федерации от 6 мая 2011 г. N 355 "О внесении изменений в основные положения функционирования розничных рынков электрической энергии" (Собрание законодательства Российской Федерации, 2011, N 20, ст. 2831).</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18. </w:t>
      </w:r>
      <w:hyperlink r:id="rId1874" w:history="1">
        <w:r>
          <w:rPr>
            <w:rFonts w:ascii="Arial" w:hAnsi="Arial" w:cs="Arial"/>
            <w:color w:val="0000FF"/>
            <w:sz w:val="20"/>
            <w:szCs w:val="20"/>
          </w:rPr>
          <w:t>Подпункт "а" пункта 1</w:t>
        </w:r>
      </w:hyperlink>
      <w:r>
        <w:rPr>
          <w:rFonts w:ascii="Arial" w:hAnsi="Arial" w:cs="Arial"/>
          <w:sz w:val="20"/>
          <w:szCs w:val="20"/>
        </w:rPr>
        <w:t xml:space="preserve"> и </w:t>
      </w:r>
      <w:hyperlink r:id="rId1875" w:history="1">
        <w:r>
          <w:rPr>
            <w:rFonts w:ascii="Arial" w:hAnsi="Arial" w:cs="Arial"/>
            <w:color w:val="0000FF"/>
            <w:sz w:val="20"/>
            <w:szCs w:val="20"/>
          </w:rPr>
          <w:t>пункт 3</w:t>
        </w:r>
      </w:hyperlink>
      <w:r>
        <w:rPr>
          <w:rFonts w:ascii="Arial" w:hAnsi="Arial" w:cs="Arial"/>
          <w:sz w:val="20"/>
          <w:szCs w:val="20"/>
        </w:rPr>
        <w:t xml:space="preserve"> изменений, которые вносятся в акты Правительства Российской Федерации в целях совершенствования отношений между поставщиками и потребителями электрической энергии на розничном рынке, утвержденных постановлением Правительства Российской Федерации от 4 ноября 2011 г. N 877 (Собрание законодательства Российской Федерации, 2011, N 45, ст. 6404).</w:t>
      </w:r>
    </w:p>
    <w:p w:rsidR="009F5AFE" w:rsidRDefault="009F5AFE" w:rsidP="009F5AFE">
      <w:pPr>
        <w:autoSpaceDE w:val="0"/>
        <w:autoSpaceDN w:val="0"/>
        <w:adjustRightInd w:val="0"/>
        <w:spacing w:before="200" w:after="0" w:line="240" w:lineRule="auto"/>
        <w:ind w:firstLine="540"/>
        <w:jc w:val="both"/>
        <w:rPr>
          <w:rFonts w:ascii="Arial" w:hAnsi="Arial" w:cs="Arial"/>
          <w:sz w:val="20"/>
          <w:szCs w:val="20"/>
        </w:rPr>
      </w:pPr>
      <w:r>
        <w:rPr>
          <w:rFonts w:ascii="Arial" w:hAnsi="Arial" w:cs="Arial"/>
          <w:sz w:val="20"/>
          <w:szCs w:val="20"/>
        </w:rPr>
        <w:t xml:space="preserve">19. </w:t>
      </w:r>
      <w:hyperlink r:id="rId1876" w:history="1">
        <w:r>
          <w:rPr>
            <w:rFonts w:ascii="Arial" w:hAnsi="Arial" w:cs="Arial"/>
            <w:color w:val="0000FF"/>
            <w:sz w:val="20"/>
            <w:szCs w:val="20"/>
          </w:rPr>
          <w:t>Пункты 1</w:t>
        </w:r>
      </w:hyperlink>
      <w:r>
        <w:rPr>
          <w:rFonts w:ascii="Arial" w:hAnsi="Arial" w:cs="Arial"/>
          <w:sz w:val="20"/>
          <w:szCs w:val="20"/>
        </w:rPr>
        <w:t xml:space="preserve">, </w:t>
      </w:r>
      <w:hyperlink r:id="rId1877" w:history="1">
        <w:r>
          <w:rPr>
            <w:rFonts w:ascii="Arial" w:hAnsi="Arial" w:cs="Arial"/>
            <w:color w:val="0000FF"/>
            <w:sz w:val="20"/>
            <w:szCs w:val="20"/>
          </w:rPr>
          <w:t>2</w:t>
        </w:r>
      </w:hyperlink>
      <w:r>
        <w:rPr>
          <w:rFonts w:ascii="Arial" w:hAnsi="Arial" w:cs="Arial"/>
          <w:sz w:val="20"/>
          <w:szCs w:val="20"/>
        </w:rPr>
        <w:t xml:space="preserve">, </w:t>
      </w:r>
      <w:hyperlink r:id="rId1878" w:history="1">
        <w:r>
          <w:rPr>
            <w:rFonts w:ascii="Arial" w:hAnsi="Arial" w:cs="Arial"/>
            <w:color w:val="0000FF"/>
            <w:sz w:val="20"/>
            <w:szCs w:val="20"/>
          </w:rPr>
          <w:t>подпункты "в"</w:t>
        </w:r>
      </w:hyperlink>
      <w:r>
        <w:rPr>
          <w:rFonts w:ascii="Arial" w:hAnsi="Arial" w:cs="Arial"/>
          <w:sz w:val="20"/>
          <w:szCs w:val="20"/>
        </w:rPr>
        <w:t xml:space="preserve"> - </w:t>
      </w:r>
      <w:hyperlink r:id="rId1879" w:history="1">
        <w:r>
          <w:rPr>
            <w:rFonts w:ascii="Arial" w:hAnsi="Arial" w:cs="Arial"/>
            <w:color w:val="0000FF"/>
            <w:sz w:val="20"/>
            <w:szCs w:val="20"/>
          </w:rPr>
          <w:t>"е" пункта 3</w:t>
        </w:r>
      </w:hyperlink>
      <w:r>
        <w:rPr>
          <w:rFonts w:ascii="Arial" w:hAnsi="Arial" w:cs="Arial"/>
          <w:sz w:val="20"/>
          <w:szCs w:val="20"/>
        </w:rPr>
        <w:t xml:space="preserve"> изменений, которые вносятся в акты Правительства Российской Федерации, утвержденных постановлением Правительства Российской Федерации от 29 декабря 2011 г. N 1179 (Собрание законодательства Российской Федерации, 2012, N 4, ст. 505).</w:t>
      </w: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autoSpaceDE w:val="0"/>
        <w:autoSpaceDN w:val="0"/>
        <w:adjustRightInd w:val="0"/>
        <w:spacing w:after="0" w:line="240" w:lineRule="auto"/>
        <w:ind w:firstLine="540"/>
        <w:jc w:val="both"/>
        <w:rPr>
          <w:rFonts w:ascii="Arial" w:hAnsi="Arial" w:cs="Arial"/>
          <w:sz w:val="20"/>
          <w:szCs w:val="20"/>
        </w:rPr>
      </w:pPr>
    </w:p>
    <w:p w:rsidR="009F5AFE" w:rsidRDefault="009F5AFE" w:rsidP="009F5AFE">
      <w:pPr>
        <w:pBdr>
          <w:top w:val="single" w:sz="6" w:space="0" w:color="auto"/>
        </w:pBdr>
        <w:autoSpaceDE w:val="0"/>
        <w:autoSpaceDN w:val="0"/>
        <w:adjustRightInd w:val="0"/>
        <w:spacing w:before="100" w:after="100" w:line="240" w:lineRule="auto"/>
        <w:jc w:val="both"/>
        <w:rPr>
          <w:rFonts w:ascii="Arial" w:hAnsi="Arial" w:cs="Arial"/>
          <w:sz w:val="2"/>
          <w:szCs w:val="2"/>
        </w:rPr>
      </w:pPr>
    </w:p>
    <w:p w:rsidR="00F73ED9" w:rsidRDefault="00F73ED9"/>
    <w:sectPr w:rsidR="00F73ED9" w:rsidSect="003B4AB4">
      <w:pgSz w:w="11906" w:h="16838"/>
      <w:pgMar w:top="1440" w:right="566" w:bottom="1440" w:left="1133" w:header="0" w:footer="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4A8"/>
    <w:rsid w:val="009F5AFE"/>
    <w:rsid w:val="00F73ED9"/>
    <w:rsid w:val="00F944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5A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F5A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5A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F5A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consultantplus://offline/ref=6CE049F5DC23C8FECAAA43E48537996284A028D0F6B43CA7F1F8D2AE5BE3B3EEADB4B7F535FE9B9A5E0600E4E32EFEF6602A97B9CFDFA406XAT6M" TargetMode="External"/><Relationship Id="rId1827" Type="http://schemas.openxmlformats.org/officeDocument/2006/relationships/image" Target="media/image520.wmf"/><Relationship Id="rId21" Type="http://schemas.openxmlformats.org/officeDocument/2006/relationships/hyperlink" Target="consultantplus://offline/ref=6CE049F5DC23C8FECAAA43E48537996286A028D8F3B73CA7F1F8D2AE5BE3B3EEADB4B7F535FE99915F0600E4E32EFEF6602A97B9CFDFA406XAT6M" TargetMode="External"/><Relationship Id="rId170" Type="http://schemas.openxmlformats.org/officeDocument/2006/relationships/hyperlink" Target="consultantplus://offline/ref=6CE049F5DC23C8FECAAA43E48537996284A62FDDF4B43CA7F1F8D2AE5BE3B3EEADB4B7F535FE9B9D520600E4E32EFEF6602A97B9CFDFA406XAT6M" TargetMode="External"/><Relationship Id="rId268" Type="http://schemas.openxmlformats.org/officeDocument/2006/relationships/hyperlink" Target="consultantplus://offline/ref=6CE049F5DC23C8FECAAA43E48537996286A72ED9F7B63CA7F1F8D2AE5BE3B3EEADB4B7F535FE9B9D5F0600E4E32EFEF6602A97B9CFDFA406XAT6M" TargetMode="External"/><Relationship Id="rId475" Type="http://schemas.openxmlformats.org/officeDocument/2006/relationships/hyperlink" Target="consultantplus://offline/ref=6CE049F5DC23C8FECAAA43E48537996286A628D1FCB73CA7F1F8D2AE5BE3B3EEADB4B7F535FE9B9D5D0600E4E32EFEF6602A97B9CFDFA406XAT6M" TargetMode="External"/><Relationship Id="rId682" Type="http://schemas.openxmlformats.org/officeDocument/2006/relationships/hyperlink" Target="consultantplus://offline/ref=6CE049F5DC23C8FECAAA43E48537996287A22AD1F3B13CA7F1F8D2AE5BE3B3EEADB4B7F535FE9B9A530600E4E32EFEF6602A97B9CFDFA406XAT6M" TargetMode="External"/><Relationship Id="rId128" Type="http://schemas.openxmlformats.org/officeDocument/2006/relationships/hyperlink" Target="consultantplus://offline/ref=6CE049F5DC23C8FECAAA43E48537996284A52BDCFDB13CA7F1F8D2AE5BE3B3EEADB4B7F535FE9A985F0600E4E32EFEF6602A97B9CFDFA406XAT6M" TargetMode="External"/><Relationship Id="rId335" Type="http://schemas.openxmlformats.org/officeDocument/2006/relationships/hyperlink" Target="consultantplus://offline/ref=6CE049F5DC23C8FECAAA43E48537996286A729D8F6B63CA7F1F8D2AE5BE3B3EEADB4B7F535FE9B9B520600E4E32EFEF6602A97B9CFDFA406XAT6M" TargetMode="External"/><Relationship Id="rId542" Type="http://schemas.openxmlformats.org/officeDocument/2006/relationships/hyperlink" Target="consultantplus://offline/ref=6CE049F5DC23C8FECAAA43E48537996286A729D8F1B43CA7F1F8D2AE5BE3B3EEADB4B7F535FE9B9A5B0600E4E32EFEF6602A97B9CFDFA406XAT6M" TargetMode="External"/><Relationship Id="rId987" Type="http://schemas.openxmlformats.org/officeDocument/2006/relationships/image" Target="media/image174.wmf"/><Relationship Id="rId1172" Type="http://schemas.openxmlformats.org/officeDocument/2006/relationships/hyperlink" Target="consultantplus://offline/ref=6CE049F5DC23C8FECAAA43E48537996287A328DCF4B03CA7F1F8D2AE5BE3B3EEADB4B7F535FE9A9C590600E4E32EFEF6602A97B9CFDFA406XAT6M" TargetMode="External"/><Relationship Id="rId402" Type="http://schemas.openxmlformats.org/officeDocument/2006/relationships/hyperlink" Target="consultantplus://offline/ref=6CE049F5DC23C8FECAAA43E48537996284A62FDDF4B43CA7F1F8D2AE5BE3B3EEADB4B7F535FE9B9C530600E4E32EFEF6602A97B9CFDFA406XAT6M" TargetMode="External"/><Relationship Id="rId847" Type="http://schemas.openxmlformats.org/officeDocument/2006/relationships/hyperlink" Target="consultantplus://offline/ref=6CE049F5DC23C8FECAAA43E48537996286A22EDDF5B33CA7F1F8D2AE5BE3B3EEADB4B7F535FE9B915C0600E4E32EFEF6602A97B9CFDFA406XAT6M" TargetMode="External"/><Relationship Id="rId1032" Type="http://schemas.openxmlformats.org/officeDocument/2006/relationships/hyperlink" Target="consultantplus://offline/ref=6CE049F5DC23C8FECAAA43E48537996286A02BD0F4BD3CA7F1F8D2AE5BE3B3EEADB4B7F535FE999A5A0600E4E32EFEF6602A97B9CFDFA406XAT6M" TargetMode="External"/><Relationship Id="rId1477" Type="http://schemas.openxmlformats.org/officeDocument/2006/relationships/hyperlink" Target="consultantplus://offline/ref=6CE049F5DC23C8FECAAA43E48537996284A026DDF2B13CA7F1F8D2AE5BE3B3EEADB4B7F535FE9890580600E4E32EFEF6602A97B9CFDFA406XAT6M" TargetMode="External"/><Relationship Id="rId1684" Type="http://schemas.openxmlformats.org/officeDocument/2006/relationships/image" Target="media/image395.wmf"/><Relationship Id="rId707" Type="http://schemas.openxmlformats.org/officeDocument/2006/relationships/hyperlink" Target="consultantplus://offline/ref=6CE049F5DC23C8FECAAA43E48537996286A028DCFCB13CA7F1F8D2AE5BE3B3EEADB4B7F535FE9B9C520600E4E32EFEF6602A97B9CFDFA406XAT6M" TargetMode="External"/><Relationship Id="rId914" Type="http://schemas.openxmlformats.org/officeDocument/2006/relationships/hyperlink" Target="consultantplus://offline/ref=6CE049F5DC23C8FECAAA43E48537996286A22EDDF5B33CA7F1F8D2AE5BE3B3EEADB4B7F535FE9A985A0600E4E32EFEF6602A97B9CFDFA406XAT6M" TargetMode="External"/><Relationship Id="rId1337" Type="http://schemas.openxmlformats.org/officeDocument/2006/relationships/hyperlink" Target="consultantplus://offline/ref=6CE049F5DC23C8FECAAA43E48537996284A02AD8F1B03CA7F1F8D2AE5BE3B3EEADB4B7F535FE9E9B520600E4E32EFEF6602A97B9CFDFA406XAT6M" TargetMode="External"/><Relationship Id="rId1544" Type="http://schemas.openxmlformats.org/officeDocument/2006/relationships/image" Target="media/image272.wmf"/><Relationship Id="rId1751" Type="http://schemas.openxmlformats.org/officeDocument/2006/relationships/image" Target="media/image451.wmf"/><Relationship Id="rId43" Type="http://schemas.openxmlformats.org/officeDocument/2006/relationships/hyperlink" Target="consultantplus://offline/ref=6CE049F5DC23C8FECAAA43E48537996286A72ED1F3B53CA7F1F8D2AE5BE3B3EEADB4B7F535FE9B98530600E4E32EFEF6602A97B9CFDFA406XAT6M" TargetMode="External"/><Relationship Id="rId1404" Type="http://schemas.openxmlformats.org/officeDocument/2006/relationships/hyperlink" Target="consultantplus://offline/ref=6CE049F5DC23C8FECAAA43E48537996284A02AD8F1B03CA7F1F8D2AE5BE3B3EEADB4B7F535FE93915D0600E4E32EFEF6602A97B9CFDFA406XAT6M" TargetMode="External"/><Relationship Id="rId1611" Type="http://schemas.openxmlformats.org/officeDocument/2006/relationships/image" Target="media/image333.wmf"/><Relationship Id="rId1849" Type="http://schemas.openxmlformats.org/officeDocument/2006/relationships/hyperlink" Target="consultantplus://offline/ref=6CE049F5DC23C8FECAAA43E48537996286A729DAFCB03CA7F1F8D2AE5BE3B3EEADB4B7F535FE9B9B5D0600E4E32EFEF6602A97B9CFDFA406XAT6M" TargetMode="External"/><Relationship Id="rId192" Type="http://schemas.openxmlformats.org/officeDocument/2006/relationships/hyperlink" Target="consultantplus://offline/ref=6CE049F5DC23C8FECAAA43E48537996286A229D0F3B43CA7F1F8D2AE5BE3B3EEADB4B7F535FE9B9F590600E4E32EFEF6602A97B9CFDFA406XAT6M" TargetMode="External"/><Relationship Id="rId1709" Type="http://schemas.openxmlformats.org/officeDocument/2006/relationships/image" Target="media/image416.wmf"/><Relationship Id="rId497" Type="http://schemas.openxmlformats.org/officeDocument/2006/relationships/hyperlink" Target="consultantplus://offline/ref=6CE049F5DC23C8FECAAA43E48537996286A229D0F3B43CA7F1F8D2AE5BE3B3EEADB4B7F535FE9B9E5A0600E4E32EFEF6602A97B9CFDFA406XAT6M" TargetMode="External"/><Relationship Id="rId357" Type="http://schemas.openxmlformats.org/officeDocument/2006/relationships/hyperlink" Target="consultantplus://offline/ref=6CE049F5DC23C8FECAAA43E48537996286A628DCF2B63CA7F1F8D2AE5BE3B3EEADB4B7F535FE989E530600E4E32EFEF6602A97B9CFDFA406XAT6M" TargetMode="External"/><Relationship Id="rId1194" Type="http://schemas.openxmlformats.org/officeDocument/2006/relationships/hyperlink" Target="consultantplus://offline/ref=6CE049F5DC23C8FECAAA43E48537996287A328DCF4B03CA7F1F8D2AE5BE3B3EEADB4B7F535FE9899580600E4E32EFEF6602A97B9CFDFA406XAT6M" TargetMode="External"/><Relationship Id="rId217" Type="http://schemas.openxmlformats.org/officeDocument/2006/relationships/hyperlink" Target="consultantplus://offline/ref=6CE049F5DC23C8FECAAA43E48537996287A326D1F7B73CA7F1F8D2AE5BE3B3EEADB4B7F535FE9A9B530600E4E32EFEF6602A97B9CFDFA406XAT6M" TargetMode="External"/><Relationship Id="rId564" Type="http://schemas.openxmlformats.org/officeDocument/2006/relationships/hyperlink" Target="consultantplus://offline/ref=6CE049F5DC23C8FECAAA43E48537996287AA2DDEF7B23CA7F1F8D2AE5BE3B3EEADB4B7F535FE9B995C0600E4E32EFEF6602A97B9CFDFA406XAT6M" TargetMode="External"/><Relationship Id="rId771" Type="http://schemas.openxmlformats.org/officeDocument/2006/relationships/image" Target="media/image29.wmf"/><Relationship Id="rId869" Type="http://schemas.openxmlformats.org/officeDocument/2006/relationships/image" Target="media/image109.wmf"/><Relationship Id="rId1499" Type="http://schemas.openxmlformats.org/officeDocument/2006/relationships/hyperlink" Target="consultantplus://offline/ref=6CE049F5DC23C8FECAAA43E48537996284A026DDF2B13CA7F1F8D2AE5BE3B3EEADB4B7F535FE9D9E590600E4E32EFEF6602A97B9CFDFA406XAT6M" TargetMode="External"/><Relationship Id="rId424" Type="http://schemas.openxmlformats.org/officeDocument/2006/relationships/hyperlink" Target="consultantplus://offline/ref=6CE049F5DC23C8FECAAA43E48537996287AA29D1F3B63CA7F1F8D2AE5BE3B3EEADB4B7F535FE9B9F5C0600E4E32EFEF6602A97B9CFDFA406XAT6M" TargetMode="External"/><Relationship Id="rId631" Type="http://schemas.openxmlformats.org/officeDocument/2006/relationships/hyperlink" Target="consultantplus://offline/ref=6CE049F5DC23C8FECAAA43E48537996287A22AD1F3B13CA7F1F8D2AE5BE3B3EEADB4B7F535FE9B985F0600E4E32EFEF6602A97B9CFDFA406XAT6M" TargetMode="External"/><Relationship Id="rId729" Type="http://schemas.openxmlformats.org/officeDocument/2006/relationships/hyperlink" Target="consultantplus://offline/ref=6CE049F5DC23C8FECAAA43E48537996286A628DDF6B33CA7F1F8D2AE5BE3B3EEADB4B7F535FE9B9D520600E4E32EFEF6602A97B9CFDFA406XAT6M" TargetMode="External"/><Relationship Id="rId1054" Type="http://schemas.openxmlformats.org/officeDocument/2006/relationships/hyperlink" Target="consultantplus://offline/ref=6CE049F5DC23C8FECAAA43E48537996286A22EDDF5B33CA7F1F8D2AE5BE3B3EEADB4B7F535FE9A9F5D0600E4E32EFEF6602A97B9CFDFA406XAT6M" TargetMode="External"/><Relationship Id="rId1261" Type="http://schemas.openxmlformats.org/officeDocument/2006/relationships/hyperlink" Target="consultantplus://offline/ref=6CE049F5DC23C8FECAAA43E48537996284A02ADBF0B53CA7F1F8D2AE5BE3B3EEADB4B7F530F5CFC81E5859B7A165F3FC783697B3XDT1M" TargetMode="External"/><Relationship Id="rId1359" Type="http://schemas.openxmlformats.org/officeDocument/2006/relationships/hyperlink" Target="consultantplus://offline/ref=6CE049F5DC23C8FECAAA43E48537996284A02AD8F1B03CA7F1F8D2AE5BE3B3EEADB4B7F535FE9399590600E4E32EFEF6602A97B9CFDFA406XAT6M" TargetMode="External"/><Relationship Id="rId936" Type="http://schemas.openxmlformats.org/officeDocument/2006/relationships/image" Target="media/image144.wmf"/><Relationship Id="rId1121" Type="http://schemas.openxmlformats.org/officeDocument/2006/relationships/hyperlink" Target="consultantplus://offline/ref=6CE049F5DC23C8FECAAA43E48537996284A62FDDF4B43CA7F1F8D2AE5BE3B3EEADB4B7F535FE999C590600E4E32EFEF6602A97B9CFDFA406XAT6M" TargetMode="External"/><Relationship Id="rId1219" Type="http://schemas.openxmlformats.org/officeDocument/2006/relationships/hyperlink" Target="consultantplus://offline/ref=6CE049F5DC23C8FECAAA43E48537996287A328DCF4B03CA7F1F8D2AE5BE3B3EEADB4B7F535FE9F9D580600E4E32EFEF6602A97B9CFDFA406XAT6M" TargetMode="External"/><Relationship Id="rId1566" Type="http://schemas.openxmlformats.org/officeDocument/2006/relationships/image" Target="media/image294.wmf"/><Relationship Id="rId1773" Type="http://schemas.openxmlformats.org/officeDocument/2006/relationships/image" Target="media/image471.wmf"/><Relationship Id="rId65" Type="http://schemas.openxmlformats.org/officeDocument/2006/relationships/hyperlink" Target="consultantplus://offline/ref=6CE049F5DC23C8FECAAA43E48537996286A02ADBFDB63CA7F1F8D2AE5BE3B3EEADB4B7F535FE9B98580600E4E32EFEF6602A97B9CFDFA406XAT6M" TargetMode="External"/><Relationship Id="rId1426" Type="http://schemas.openxmlformats.org/officeDocument/2006/relationships/hyperlink" Target="consultantplus://offline/ref=6CE049F5DC23C8FECAAA43E48537996284A02AD8F1B03CA7F1F8D2AE5BE3B3EEADB4B7F637FC90CD0B4901B8A57DEDF46E2A95B1D3XDTDM" TargetMode="External"/><Relationship Id="rId1633" Type="http://schemas.openxmlformats.org/officeDocument/2006/relationships/image" Target="media/image351.wmf"/><Relationship Id="rId1840" Type="http://schemas.openxmlformats.org/officeDocument/2006/relationships/image" Target="media/image529.wmf"/><Relationship Id="rId1700" Type="http://schemas.openxmlformats.org/officeDocument/2006/relationships/image" Target="media/image408.wmf"/><Relationship Id="rId281" Type="http://schemas.openxmlformats.org/officeDocument/2006/relationships/hyperlink" Target="consultantplus://offline/ref=6CE049F5DC23C8FECAAA43E48537996286A72ED9F7B63CA7F1F8D2AE5BE3B3EEADB4B7F535FE9B9C5A0600E4E32EFEF6602A97B9CFDFA406XAT6M" TargetMode="External"/><Relationship Id="rId141" Type="http://schemas.openxmlformats.org/officeDocument/2006/relationships/hyperlink" Target="consultantplus://offline/ref=6CE049F5DC23C8FECAAA43E48537996287A226DDF5B13CA7F1F8D2AE5BE3B3EEADB4B7F535FE9A9A5A0600E4E32EFEF6602A97B9CFDFA406XAT6M" TargetMode="External"/><Relationship Id="rId379" Type="http://schemas.openxmlformats.org/officeDocument/2006/relationships/hyperlink" Target="consultantplus://offline/ref=6CE049F5DC23C8FECAAA43E48537996287A02FDEF5B13CA7F1F8D2AE5BE3B3EEADB4B7F535FE9A98520600E4E32EFEF6602A97B9CFDFA406XAT6M" TargetMode="External"/><Relationship Id="rId586" Type="http://schemas.openxmlformats.org/officeDocument/2006/relationships/hyperlink" Target="consultantplus://offline/ref=6CE049F5DC23C8FECAAA43E48537996287A226DDF5B13CA7F1F8D2AE5BE3B3EEADB4B7F535FE9A9D530600E4E32EFEF6602A97B9CFDFA406XAT6M" TargetMode="External"/><Relationship Id="rId793" Type="http://schemas.openxmlformats.org/officeDocument/2006/relationships/image" Target="media/image45.wmf"/><Relationship Id="rId7" Type="http://schemas.openxmlformats.org/officeDocument/2006/relationships/hyperlink" Target="consultantplus://offline/ref=6CE049F5DC23C8FECAAA43E48537996287AA29DBF2B53CA7F1F8D2AE5BE3B3EEADB4B7F535FE9B9C5B0600E4E32EFEF6602A97B9CFDFA406XAT6M" TargetMode="External"/><Relationship Id="rId239" Type="http://schemas.openxmlformats.org/officeDocument/2006/relationships/hyperlink" Target="consultantplus://offline/ref=6CE049F5DC23C8FECAAA43E48537996287A329DEF5BD3CA7F1F8D2AE5BE3B3EEADB4B7F535FE9B9D520600E4E32EFEF6602A97B9CFDFA406XAT6M" TargetMode="External"/><Relationship Id="rId446" Type="http://schemas.openxmlformats.org/officeDocument/2006/relationships/hyperlink" Target="consultantplus://offline/ref=6CE049F5DC23C8FECAAA43E48537996286A72ED9F7B63CA7F1F8D2AE5BE3B3EEADB4B7F535FE9B9F590600E4E32EFEF6602A97B9CFDFA406XAT6M" TargetMode="External"/><Relationship Id="rId653" Type="http://schemas.openxmlformats.org/officeDocument/2006/relationships/hyperlink" Target="consultantplus://offline/ref=6CE049F5DC23C8FECAAA43E48537996286A32CDBF7BD3CA7F1F8D2AE5BE3B3EEADB4B7F535FE9A9A5D0600E4E32EFEF6602A97B9CFDFA406XAT6M" TargetMode="External"/><Relationship Id="rId1076" Type="http://schemas.openxmlformats.org/officeDocument/2006/relationships/image" Target="media/image223.wmf"/><Relationship Id="rId1283" Type="http://schemas.openxmlformats.org/officeDocument/2006/relationships/hyperlink" Target="consultantplus://offline/ref=6CE049F5DC23C8FECAAA43E48537996284A02AD8F1B03CA7F1F8D2AE5BE3B3EEADB4B7F535FE989E530600E4E32EFEF6602A97B9CFDFA406XAT6M" TargetMode="External"/><Relationship Id="rId1490" Type="http://schemas.openxmlformats.org/officeDocument/2006/relationships/hyperlink" Target="consultantplus://offline/ref=6CE049F5DC23C8FECAAA43E48537996284A026DDF2B13CA7F1F8D2AE5BE3B3EEADB4B7F535FE9E98520600E4E32EFEF6602A97B9CFDFA406XAT6M" TargetMode="External"/><Relationship Id="rId306" Type="http://schemas.openxmlformats.org/officeDocument/2006/relationships/hyperlink" Target="consultantplus://offline/ref=6CE049F5DC23C8FECAAA43E48537996284A52BDCFDB13CA7F1F8D2AE5BE3B3EEADB4B7F535FE9A9A5E0600E4E32EFEF6602A97B9CFDFA406XAT6M" TargetMode="External"/><Relationship Id="rId860" Type="http://schemas.openxmlformats.org/officeDocument/2006/relationships/hyperlink" Target="consultantplus://offline/ref=6CE049F5DC23C8FECAAA43E48537996286A02BD0F4BD3CA7F1F8D2AE5BE3B3EEADB4B7F535FE9A915D0600E4E32EFEF6602A97B9CFDFA406XAT6M" TargetMode="External"/><Relationship Id="rId958" Type="http://schemas.openxmlformats.org/officeDocument/2006/relationships/hyperlink" Target="consultantplus://offline/ref=6CE049F5DC23C8FECAAA43E48537996286A02BD0F4BD3CA7F1F8D2AE5BE3B3EEADB4B7F535FE99985E0600E4E32EFEF6602A97B9CFDFA406XAT6M" TargetMode="External"/><Relationship Id="rId1143" Type="http://schemas.openxmlformats.org/officeDocument/2006/relationships/hyperlink" Target="consultantplus://offline/ref=6CE049F5DC23C8FECAAA43E48537996287A22AD1F3B13CA7F1F8D2AE5BE3B3EEADB4B7F535FE9B9D5E0600E4E32EFEF6602A97B9CFDFA406XAT6M" TargetMode="External"/><Relationship Id="rId1588" Type="http://schemas.openxmlformats.org/officeDocument/2006/relationships/image" Target="media/image313.wmf"/><Relationship Id="rId1795" Type="http://schemas.openxmlformats.org/officeDocument/2006/relationships/image" Target="media/image491.wmf"/><Relationship Id="rId87" Type="http://schemas.openxmlformats.org/officeDocument/2006/relationships/hyperlink" Target="consultantplus://offline/ref=6CE049F5DC23C8FECAAA43E48537996284AB2BDDF6BC3CA7F1F8D2AE5BE3B3EEADB4B7F535FE9B9A5C0600E4E32EFEF6602A97B9CFDFA406XAT6M" TargetMode="External"/><Relationship Id="rId513" Type="http://schemas.openxmlformats.org/officeDocument/2006/relationships/hyperlink" Target="consultantplus://offline/ref=6CE049F5DC23C8FECAAA43E48537996284A52BDCFDB13CA7F1F8D2AE5BE3B3EEADB4B7F535FE99985F0600E4E32EFEF6602A97B9CFDFA406XAT6M" TargetMode="External"/><Relationship Id="rId720" Type="http://schemas.openxmlformats.org/officeDocument/2006/relationships/hyperlink" Target="consultantplus://offline/ref=6CE049F5DC23C8FECAAA43E48537996287A226DDF5B13CA7F1F8D2AE5BE3B3EEADB4B7F535FE9A9C5D0600E4E32EFEF6602A97B9CFDFA406XAT6M" TargetMode="External"/><Relationship Id="rId818" Type="http://schemas.openxmlformats.org/officeDocument/2006/relationships/image" Target="media/image68.wmf"/><Relationship Id="rId1350" Type="http://schemas.openxmlformats.org/officeDocument/2006/relationships/hyperlink" Target="consultantplus://offline/ref=6CE049F5DC23C8FECAAA43E48537996284A02AD8F1B03CA7F1F8D2AE5BE3B3EEADB4B7F535FE9D915B0600E4E32EFEF6602A97B9CFDFA406XAT6M" TargetMode="External"/><Relationship Id="rId1448" Type="http://schemas.openxmlformats.org/officeDocument/2006/relationships/hyperlink" Target="consultantplus://offline/ref=6CE049F5DC23C8FECAAA43E48537996284A026DDF2B63CA7F1F8D2AE5BE3B3EEADB4B7F535FE9A9D5B0600E4E32EFEF6602A97B9CFDFA406XAT6M" TargetMode="External"/><Relationship Id="rId1655" Type="http://schemas.openxmlformats.org/officeDocument/2006/relationships/image" Target="media/image371.wmf"/><Relationship Id="rId1003" Type="http://schemas.openxmlformats.org/officeDocument/2006/relationships/hyperlink" Target="consultantplus://offline/ref=6CE049F5DC23C8FECAAA43E48537996286A22EDDF5B33CA7F1F8D2AE5BE3B3EEADB4B7F535FE9A9D5C0600E4E32EFEF6602A97B9CFDFA406XAT6M" TargetMode="External"/><Relationship Id="rId1210" Type="http://schemas.openxmlformats.org/officeDocument/2006/relationships/hyperlink" Target="consultantplus://offline/ref=6CE049F5DC23C8FECAAA43E48537996286A628DCF2B63CA7F1F8D2AE5BE3B3EEADB4B7F535FE9C9E5C0600E4E32EFEF6602A97B9CFDFA406XAT6M" TargetMode="External"/><Relationship Id="rId1308" Type="http://schemas.openxmlformats.org/officeDocument/2006/relationships/hyperlink" Target="consultantplus://offline/ref=6CE049F5DC23C8FECAAA43E48537996284A02AD8F1B03CA7F1F8D2AE5BE3B3EEADB4B7F535FE9F9B5D0600E4E32EFEF6602A97B9CFDFA406XAT6M" TargetMode="External"/><Relationship Id="rId1862" Type="http://schemas.openxmlformats.org/officeDocument/2006/relationships/hyperlink" Target="consultantplus://offline/ref=6CE049F5DC23C8FECAAA43E4853799628DA52ED9F5BE61ADF9A1DEAC5CECECF9AAFDBBF435FE9F9E515905F1F276F1F278349FAFD3DDA6X0T4M" TargetMode="External"/><Relationship Id="rId1515" Type="http://schemas.openxmlformats.org/officeDocument/2006/relationships/hyperlink" Target="consultantplus://offline/ref=6CE049F5DC23C8FECAAA43E48537996284A028D0F6B43CA7F1F8D2AE5BE3B3EEADB4B7F535FE9B9B5F0600E4E32EFEF6602A97B9CFDFA406XAT6M" TargetMode="External"/><Relationship Id="rId1722" Type="http://schemas.openxmlformats.org/officeDocument/2006/relationships/image" Target="media/image429.wmf"/><Relationship Id="rId14" Type="http://schemas.openxmlformats.org/officeDocument/2006/relationships/hyperlink" Target="consultantplus://offline/ref=6CE049F5DC23C8FECAAA43E48537996284AB2ED0FCB33CA7F1F8D2AE5BE3B3EEADB4B7F535FE9A9D530600E4E32EFEF6602A97B9CFDFA406XAT6M" TargetMode="External"/><Relationship Id="rId163" Type="http://schemas.openxmlformats.org/officeDocument/2006/relationships/hyperlink" Target="consultantplus://offline/ref=6CE049F5DC23C8FECAAA43E48537996286A32CDBF7BD3CA7F1F8D2AE5BE3B3EEADB4B7F535FE9A995F0600E4E32EFEF6602A97B9CFDFA406XAT6M" TargetMode="External"/><Relationship Id="rId370" Type="http://schemas.openxmlformats.org/officeDocument/2006/relationships/hyperlink" Target="consultantplus://offline/ref=6CE049F5DC23C8FECAAA43E48537996286A72ED9F7B63CA7F1F8D2AE5BE3B3EEADB4B7F535FE9B9F580600E4E32EFEF6602A97B9CFDFA406XAT6M" TargetMode="External"/><Relationship Id="rId230" Type="http://schemas.openxmlformats.org/officeDocument/2006/relationships/hyperlink" Target="consultantplus://offline/ref=6CE049F5DC23C8FECAAA43E48537996286A32BDDF7B23CA7F1F8D2AE5BE3B3EEADB4B7F535FE9A90580600E4E32EFEF6602A97B9CFDFA406XAT6M" TargetMode="External"/><Relationship Id="rId468" Type="http://schemas.openxmlformats.org/officeDocument/2006/relationships/hyperlink" Target="consultantplus://offline/ref=6CE049F5DC23C8FECAAA43E48537996286A628D1FCB73CA7F1F8D2AE5BE3B3EEADB4B7F535FE9B9D5D0600E4E32EFEF6602A97B9CFDFA406XAT6M" TargetMode="External"/><Relationship Id="rId675" Type="http://schemas.openxmlformats.org/officeDocument/2006/relationships/hyperlink" Target="consultantplus://offline/ref=6CE049F5DC23C8FECAAA43E48537996286A32CDBF7BD3CA7F1F8D2AE5BE3B3EEADB4B7F535FE9A9A530600E4E32EFEF6602A97B9CFDFA406XAT6M" TargetMode="External"/><Relationship Id="rId882" Type="http://schemas.openxmlformats.org/officeDocument/2006/relationships/image" Target="media/image116.wmf"/><Relationship Id="rId1098" Type="http://schemas.openxmlformats.org/officeDocument/2006/relationships/hyperlink" Target="consultantplus://offline/ref=6CE049F5DC23C8FECAAA43E48537996287A32DDFF3B23CA7F1F8D2AE5BE3B3EEADB4B7F535FE9A98580600E4E32EFEF6602A97B9CFDFA406XAT6M" TargetMode="External"/><Relationship Id="rId328" Type="http://schemas.openxmlformats.org/officeDocument/2006/relationships/hyperlink" Target="consultantplus://offline/ref=6CE049F5DC23C8FECAAA43E48537996287AA2ED1F7B63CA7F1F8D2AE5BE3B3EEADB4B7F535FE9B98590600E4E32EFEF6602A97B9CFDFA406XAT6M" TargetMode="External"/><Relationship Id="rId535" Type="http://schemas.openxmlformats.org/officeDocument/2006/relationships/hyperlink" Target="consultantplus://offline/ref=6CE049F5DC23C8FECAAA43E48537996286A628DCF2B63CA7F1F8D2AE5BE3B3EEADB4B7F535FE9C9E5C0600E4E32EFEF6602A97B9CFDFA406XAT6M" TargetMode="External"/><Relationship Id="rId742" Type="http://schemas.openxmlformats.org/officeDocument/2006/relationships/hyperlink" Target="consultantplus://offline/ref=6CE049F5DC23C8FECAAA43E48537996284A62FDDF4B43CA7F1F8D2AE5BE3B3EEADB4B7F535FE999A5A0600E4E32EFEF6602A97B9CFDFA406XAT6M" TargetMode="External"/><Relationship Id="rId1165" Type="http://schemas.openxmlformats.org/officeDocument/2006/relationships/hyperlink" Target="consultantplus://offline/ref=6CE049F5DC23C8FECAAA43E48537996287AA2DDCFCB63CA7F1F8D2AE5BE3B3EEADB4B7F535FE9B9A5B0600E4E32EFEF6602A97B9CFDFA406XAT6M" TargetMode="External"/><Relationship Id="rId1372" Type="http://schemas.openxmlformats.org/officeDocument/2006/relationships/hyperlink" Target="consultantplus://offline/ref=6CE049F5DC23C8FECAAA43E48537996284A02AD8F1B03CA7F1F8D2AE5BE3B3EEADB4B7F535FE939B520600E4E32EFEF6602A97B9CFDFA406XAT6M" TargetMode="External"/><Relationship Id="rId602" Type="http://schemas.openxmlformats.org/officeDocument/2006/relationships/hyperlink" Target="consultantplus://offline/ref=6CE049F5DC23C8FECAAA43E48537996287AA2DDEF7B23CA7F1F8D2AE5BE3B3EEADB4B7F535FE9B9A5C0600E4E32EFEF6602A97B9CFDFA406XAT6M" TargetMode="External"/><Relationship Id="rId1025" Type="http://schemas.openxmlformats.org/officeDocument/2006/relationships/hyperlink" Target="consultantplus://offline/ref=6CE049F5DC23C8FECAAA43E48537996286A02BD0F4BD3CA7F1F8D2AE5BE3B3EEADB4B7F535FE999B530600E4E32EFEF6602A97B9CFDFA406XAT6M" TargetMode="External"/><Relationship Id="rId1232" Type="http://schemas.openxmlformats.org/officeDocument/2006/relationships/hyperlink" Target="consultantplus://offline/ref=6CE049F5DC23C8FECAAA43E48537996286A32CD8F6B23CA7F1F8D2AE5BE3B3EEADB4B7F535FF999B5B0600E4E32EFEF6602A97B9CFDFA406XAT6M" TargetMode="External"/><Relationship Id="rId1677" Type="http://schemas.openxmlformats.org/officeDocument/2006/relationships/image" Target="media/image389.wmf"/><Relationship Id="rId907" Type="http://schemas.openxmlformats.org/officeDocument/2006/relationships/image" Target="media/image129.wmf"/><Relationship Id="rId1537" Type="http://schemas.openxmlformats.org/officeDocument/2006/relationships/image" Target="media/image265.wmf"/><Relationship Id="rId1744" Type="http://schemas.openxmlformats.org/officeDocument/2006/relationships/image" Target="media/image446.wmf"/><Relationship Id="rId36" Type="http://schemas.openxmlformats.org/officeDocument/2006/relationships/hyperlink" Target="consultantplus://offline/ref=6CE049F5DC23C8FECAAA43E48537996287A02CDCF1B03CA7F1F8D2AE5BE3B3EEADB4B7F535FE9B99530600E4E32EFEF6602A97B9CFDFA406XAT6M" TargetMode="External"/><Relationship Id="rId1604" Type="http://schemas.openxmlformats.org/officeDocument/2006/relationships/image" Target="media/image326.wmf"/><Relationship Id="rId185" Type="http://schemas.openxmlformats.org/officeDocument/2006/relationships/hyperlink" Target="consultantplus://offline/ref=6CE049F5DC23C8FECAAA43E48537996287A329DEF5BD3CA7F1F8D2AE5BE3B3EEADB4B7F535FE9B9A530600E4E32EFEF6602A97B9CFDFA406XAT6M" TargetMode="External"/><Relationship Id="rId1811" Type="http://schemas.openxmlformats.org/officeDocument/2006/relationships/image" Target="media/image505.wmf"/><Relationship Id="rId392" Type="http://schemas.openxmlformats.org/officeDocument/2006/relationships/hyperlink" Target="consultantplus://offline/ref=6CE049F5DC23C8FECAAA43E48537996287A02FDEF5B13CA7F1F8D2AE5BE3B3EEADB4B7F535FE9A9A5D0600E4E32EFEF6602A97B9CFDFA406XAT6M" TargetMode="External"/><Relationship Id="rId697" Type="http://schemas.openxmlformats.org/officeDocument/2006/relationships/hyperlink" Target="consultantplus://offline/ref=6CE049F5DC23C8FECAAA43E48537996286A628DDF6B33CA7F1F8D2AE5BE3B3EEADB4B7F535FE9B9B5F0600E4E32EFEF6602A97B9CFDFA406XAT6M" TargetMode="External"/><Relationship Id="rId252" Type="http://schemas.openxmlformats.org/officeDocument/2006/relationships/hyperlink" Target="consultantplus://offline/ref=6CE049F5DC23C8FECAAA43E48537996286A229D0F3B43CA7F1F8D2AE5BE3B3EEADB4B7F535FE9B9F5E0600E4E32EFEF6602A97B9CFDFA406XAT6M" TargetMode="External"/><Relationship Id="rId1187" Type="http://schemas.openxmlformats.org/officeDocument/2006/relationships/hyperlink" Target="consultantplus://offline/ref=6CE049F5DC23C8FECAAA43E48537996287A328DCF4B03CA7F1F8D2AE5BE3B3EEADB4B7F535FE999F5B0600E4E32EFEF6602A97B9CFDFA406XAT6M" TargetMode="External"/><Relationship Id="rId112" Type="http://schemas.openxmlformats.org/officeDocument/2006/relationships/hyperlink" Target="consultantplus://offline/ref=6CE049F5DC23C8FECAAA43E48537996286A32BDDF7B23CA7F1F8D2AE5BE3B3EEADB4B7F535FE9A91520600E4E32EFEF6602A97B9CFDFA406XAT6M" TargetMode="External"/><Relationship Id="rId557" Type="http://schemas.openxmlformats.org/officeDocument/2006/relationships/hyperlink" Target="consultantplus://offline/ref=6CE049F5DC23C8FECAAA43E48537996286A729DAFCB03CA7F1F8D2AE5BE3B3EEADB4B7F535FE9B9B5D0600E4E32EFEF6602A97B9CFDFA406XAT6M" TargetMode="External"/><Relationship Id="rId764" Type="http://schemas.openxmlformats.org/officeDocument/2006/relationships/hyperlink" Target="consultantplus://offline/ref=6CE049F5DC23C8FECAAA43E48537996284A62FDDF4B43CA7F1F8D2AE5BE3B3EEADB4B7F535FE999A5C0600E4E32EFEF6602A97B9CFDFA406XAT6M" TargetMode="External"/><Relationship Id="rId971" Type="http://schemas.openxmlformats.org/officeDocument/2006/relationships/image" Target="media/image164.wmf"/><Relationship Id="rId1394" Type="http://schemas.openxmlformats.org/officeDocument/2006/relationships/hyperlink" Target="consultantplus://offline/ref=6CE049F5DC23C8FECAAA43E48537996286A729DAFCB03CA7F1F8D2AE5BE3B3EEADB4B7F535FE9B9B5D0600E4E32EFEF6602A97B9CFDFA406XAT6M" TargetMode="External"/><Relationship Id="rId1699" Type="http://schemas.openxmlformats.org/officeDocument/2006/relationships/image" Target="media/image407.wmf"/><Relationship Id="rId417" Type="http://schemas.openxmlformats.org/officeDocument/2006/relationships/hyperlink" Target="consultantplus://offline/ref=6CE049F5DC23C8FECAAA43E48537996286A22ED1FCB03CA7F1F8D2AE5BE3B3EEADB4B7F535FE9B9A530600E4E32EFEF6602A97B9CFDFA406XAT6M" TargetMode="External"/><Relationship Id="rId624" Type="http://schemas.openxmlformats.org/officeDocument/2006/relationships/hyperlink" Target="consultantplus://offline/ref=6CE049F5DC23C8FECAAA43E48537996284A62FDDF4B43CA7F1F8D2AE5BE3B3EEADB4B7F535FE9A985E0600E4E32EFEF6602A97B9CFDFA406XAT6M" TargetMode="External"/><Relationship Id="rId831" Type="http://schemas.openxmlformats.org/officeDocument/2006/relationships/image" Target="media/image81.wmf"/><Relationship Id="rId1047" Type="http://schemas.openxmlformats.org/officeDocument/2006/relationships/hyperlink" Target="consultantplus://offline/ref=6CE049F5DC23C8FECAAA43E48537996286A22EDDF5B33CA7F1F8D2AE5BE3B3EEADB4B7F535FE9A9F590600E4E32EFEF6602A97B9CFDFA406XAT6M" TargetMode="External"/><Relationship Id="rId1254" Type="http://schemas.openxmlformats.org/officeDocument/2006/relationships/hyperlink" Target="consultantplus://offline/ref=6CE049F5DC23C8FECAAA43E48537996286A72ED1F3B53CA7F1F8D2AE5BE3B3EEADB4B7F535FE9B98530600E4E32EFEF6602A97B9CFDFA406XAT6M" TargetMode="External"/><Relationship Id="rId1461" Type="http://schemas.openxmlformats.org/officeDocument/2006/relationships/hyperlink" Target="consultantplus://offline/ref=6CE049F5DC23C8FECAAA43E48537996284A026DDF2B63CA7F1F8D2AE5BE3B3EEADB4B7F731F5CFC81E5859B7A165F3FC783697B3XDT1M" TargetMode="External"/><Relationship Id="rId929" Type="http://schemas.openxmlformats.org/officeDocument/2006/relationships/image" Target="media/image141.wmf"/><Relationship Id="rId1114" Type="http://schemas.openxmlformats.org/officeDocument/2006/relationships/hyperlink" Target="consultantplus://offline/ref=6CE049F5DC23C8FECAAA43E48537996284A62FDDF4B43CA7F1F8D2AE5BE3B3EEADB4B7F535FE999C5B0600E4E32EFEF6602A97B9CFDFA406XAT6M" TargetMode="External"/><Relationship Id="rId1321" Type="http://schemas.openxmlformats.org/officeDocument/2006/relationships/hyperlink" Target="consultantplus://offline/ref=6CE049F5DC23C8FECAAA43E48537996284A02AD8F1B03CA7F1F8D2AE5BE3B3EEADB4B7F535FE9F9F5A0600E4E32EFEF6602A97B9CFDFA406XAT6M" TargetMode="External"/><Relationship Id="rId1559" Type="http://schemas.openxmlformats.org/officeDocument/2006/relationships/image" Target="media/image287.wmf"/><Relationship Id="rId1766" Type="http://schemas.openxmlformats.org/officeDocument/2006/relationships/hyperlink" Target="consultantplus://offline/ref=6CE049F5DC23C8FECAAA43E48537996284A028D0F6B43CA7F1F8D2AE5BE3B3EEADB4B7F535FE9A9F5D0600E4E32EFEF6602A97B9CFDFA406XAT6M" TargetMode="External"/><Relationship Id="rId58" Type="http://schemas.openxmlformats.org/officeDocument/2006/relationships/hyperlink" Target="consultantplus://offline/ref=6CE049F5DC23C8FECAAA43E48537996284A629D1F1B43CA7F1F8D2AE5BE3B3EEADB4B7F535FE9B9D5F0600E4E32EFEF6602A97B9CFDFA406XAT6M" TargetMode="External"/><Relationship Id="rId1419" Type="http://schemas.openxmlformats.org/officeDocument/2006/relationships/hyperlink" Target="consultantplus://offline/ref=6CE049F5DC23C8FECAAA43E48537996284A02AD8F1B03CA7F1F8D2AE5BE3B3EEADB4B7F530FE90CD0B4901B8A57DEDF46E2A95B1D3XDTDM" TargetMode="External"/><Relationship Id="rId1626" Type="http://schemas.openxmlformats.org/officeDocument/2006/relationships/hyperlink" Target="consultantplus://offline/ref=6CE049F5DC23C8FECAAA43E48537996286A628D1FCB73CA7F1F8D2AE5BE3B3EEADB4B7F535FE9B9D5D0600E4E32EFEF6602A97B9CFDFA406XAT6M" TargetMode="External"/><Relationship Id="rId1833" Type="http://schemas.openxmlformats.org/officeDocument/2006/relationships/image" Target="media/image524.wmf"/><Relationship Id="rId274" Type="http://schemas.openxmlformats.org/officeDocument/2006/relationships/hyperlink" Target="consultantplus://offline/ref=6CE049F5DC23C8FECAAA43E48537996286A32CD8F6B23CA7F1F8D2AE5BE3B3EEADB4B7F535FF9999590600E4E32EFEF6602A97B9CFDFA406XAT6M" TargetMode="External"/><Relationship Id="rId481" Type="http://schemas.openxmlformats.org/officeDocument/2006/relationships/image" Target="media/image17.wmf"/><Relationship Id="rId134" Type="http://schemas.openxmlformats.org/officeDocument/2006/relationships/hyperlink" Target="consultantplus://offline/ref=6CE049F5DC23C8FECAAA43E48537996286A628DCF2B63CA7F1F8D2AE5BE3B3EEADB4B7F535FE989E530600E4E32EFEF6602A97B9CFDFA406XAT6M" TargetMode="External"/><Relationship Id="rId579" Type="http://schemas.openxmlformats.org/officeDocument/2006/relationships/hyperlink" Target="consultantplus://offline/ref=6CE049F5DC23C8FECAAA43E48537996287AA2DDEF7B23CA7F1F8D2AE5BE3B3EEADB4B7F535FE9B9B5D0600E4E32EFEF6602A97B9CFDFA406XAT6M" TargetMode="External"/><Relationship Id="rId786" Type="http://schemas.openxmlformats.org/officeDocument/2006/relationships/image" Target="media/image39.wmf"/><Relationship Id="rId993" Type="http://schemas.openxmlformats.org/officeDocument/2006/relationships/hyperlink" Target="consultantplus://offline/ref=6CE049F5DC23C8FECAAA43E48537996286A22EDDF5B33CA7F1F8D2AE5BE3B3EEADB4B7F535FE9A9D580600E4E32EFEF6602A97B9CFDFA406XAT6M" TargetMode="External"/><Relationship Id="rId341" Type="http://schemas.openxmlformats.org/officeDocument/2006/relationships/hyperlink" Target="consultantplus://offline/ref=6CE049F5DC23C8FECAAA43E48537996284A52BDCFDB13CA7F1F8D2AE5BE3B3EEADB4B7F535FE9A915B0600E4E32EFEF6602A97B9CFDFA406XAT6M" TargetMode="External"/><Relationship Id="rId439" Type="http://schemas.openxmlformats.org/officeDocument/2006/relationships/hyperlink" Target="consultantplus://offline/ref=6CE049F5DC23C8FECAAA43E48537996286A32CDBF7BD3CA7F1F8D2AE5BE3B3EEADB4B7F535FE9A985A0600E4E32EFEF6602A97B9CFDFA406XAT6M" TargetMode="External"/><Relationship Id="rId646" Type="http://schemas.openxmlformats.org/officeDocument/2006/relationships/hyperlink" Target="consultantplus://offline/ref=6CE049F5DC23C8FECAAA43E48537996286A028D8F3B73CA7F1F8D2AE5BE3B3EEADB4B7F535FE99915C0600E4E32EFEF6602A97B9CFDFA406XAT6M" TargetMode="External"/><Relationship Id="rId1069" Type="http://schemas.openxmlformats.org/officeDocument/2006/relationships/image" Target="media/image219.wmf"/><Relationship Id="rId1276" Type="http://schemas.openxmlformats.org/officeDocument/2006/relationships/hyperlink" Target="consultantplus://offline/ref=6CE049F5DC23C8FECAAA43E48537996286A628D1FCB73CA7F1F8D2AE5BE3B3EEADB4B7F535FE9B9D5D0600E4E32EFEF6602A97B9CFDFA406XAT6M" TargetMode="External"/><Relationship Id="rId1483" Type="http://schemas.openxmlformats.org/officeDocument/2006/relationships/hyperlink" Target="consultantplus://offline/ref=6CE049F5DC23C8FECAAA43E48537996284A026DDF2B13CA7F1F8D2AE5BE3B3EEADB4B7F535FE9F9D5A0600E4E32EFEF6602A97B9CFDFA406XAT6M" TargetMode="External"/><Relationship Id="rId201" Type="http://schemas.openxmlformats.org/officeDocument/2006/relationships/hyperlink" Target="consultantplus://offline/ref=6CE049F5DC23C8FECAAA43E48537996287A329DEF5BD3CA7F1F8D2AE5BE3B3EEADB4B7F535FE9B9D5A0600E4E32EFEF6602A97B9CFDFA406XAT6M" TargetMode="External"/><Relationship Id="rId506" Type="http://schemas.openxmlformats.org/officeDocument/2006/relationships/hyperlink" Target="consultantplus://offline/ref=6CE049F5DC23C8FECAAA43E48537996287A326D1F7B73CA7F1F8D2AE5BE3B3EEADB4B7F535FE9A9D530600E4E32EFEF6602A97B9CFDFA406XAT6M" TargetMode="External"/><Relationship Id="rId853" Type="http://schemas.openxmlformats.org/officeDocument/2006/relationships/hyperlink" Target="consultantplus://offline/ref=6CE049F5DC23C8FECAAA43E48537996286A62DD9F1B63CA7F1F8D2AE5BE3B3EEBFB4EFF937F88599521356B5A5X7TBM" TargetMode="External"/><Relationship Id="rId1136" Type="http://schemas.openxmlformats.org/officeDocument/2006/relationships/hyperlink" Target="consultantplus://offline/ref=6CE049F5DC23C8FECAAA43E48537996284A52BDCFDB13CA7F1F8D2AE5BE3B3EEADB4B7F535FE999A5B0600E4E32EFEF6602A97B9CFDFA406XAT6M" TargetMode="External"/><Relationship Id="rId1690" Type="http://schemas.openxmlformats.org/officeDocument/2006/relationships/image" Target="media/image399.wmf"/><Relationship Id="rId1788" Type="http://schemas.openxmlformats.org/officeDocument/2006/relationships/image" Target="media/image485.wmf"/><Relationship Id="rId713" Type="http://schemas.openxmlformats.org/officeDocument/2006/relationships/hyperlink" Target="consultantplus://offline/ref=6CE049F5DC23C8FECAAA43E48537996286A628DDF6B33CA7F1F8D2AE5BE3B3EEADB4B7F535FE9B9A5C0600E4E32EFEF6602A97B9CFDFA406XAT6M" TargetMode="External"/><Relationship Id="rId920" Type="http://schemas.openxmlformats.org/officeDocument/2006/relationships/image" Target="media/image136.wmf"/><Relationship Id="rId1343" Type="http://schemas.openxmlformats.org/officeDocument/2006/relationships/hyperlink" Target="consultantplus://offline/ref=6CE049F5DC23C8FECAAA43E48537996284A02AD8F1B03CA7F1F8D2AE5BE3B3EEADB4B7F535FE9D9C5C0600E4E32EFEF6602A97B9CFDFA406XAT6M" TargetMode="External"/><Relationship Id="rId1550" Type="http://schemas.openxmlformats.org/officeDocument/2006/relationships/image" Target="media/image278.wmf"/><Relationship Id="rId1648" Type="http://schemas.openxmlformats.org/officeDocument/2006/relationships/image" Target="media/image364.wmf"/><Relationship Id="rId1203" Type="http://schemas.openxmlformats.org/officeDocument/2006/relationships/hyperlink" Target="consultantplus://offline/ref=6CE049F5DC23C8FECAAA43E48537996287A328DCF4B03CA7F1F8D2AE5BE3B3EEADB4B7F535FE989C5F0600E4E32EFEF6602A97B9CFDFA406XAT6M" TargetMode="External"/><Relationship Id="rId1410" Type="http://schemas.openxmlformats.org/officeDocument/2006/relationships/hyperlink" Target="consultantplus://offline/ref=6CE049F5DC23C8FECAAA43E48537996284A02AD8F1B03CA7F1F8D2AE5BE3B3EEADB4B7F535FE929B5A0600E4E32EFEF6602A97B9CFDFA406XAT6M" TargetMode="External"/><Relationship Id="rId1508" Type="http://schemas.openxmlformats.org/officeDocument/2006/relationships/hyperlink" Target="consultantplus://offline/ref=6CE049F5DC23C8FECAAA43E48537996284A028D0F6B43CA7F1F8D2AE5BE3B3EEADB4B7F535FE9B985D0600E4E32EFEF6602A97B9CFDFA406XAT6M" TargetMode="External"/><Relationship Id="rId1855" Type="http://schemas.openxmlformats.org/officeDocument/2006/relationships/hyperlink" Target="consultantplus://offline/ref=6CE049F5DC23C8FECAAA43E48537996284A028D0F6B43CA7F1F8D2AE5BE3B3EEADB4B7F535FE99915A0600E4E32EFEF6602A97B9CFDFA406XAT6M" TargetMode="External"/><Relationship Id="rId1715" Type="http://schemas.openxmlformats.org/officeDocument/2006/relationships/image" Target="media/image422.wmf"/><Relationship Id="rId296" Type="http://schemas.openxmlformats.org/officeDocument/2006/relationships/hyperlink" Target="consultantplus://offline/ref=6CE049F5DC23C8FECAAA43E48537996287A328DCF4B03CA7F1F8D2AE5BE3B3EEADB4B7F535FE9B9E530600E4E32EFEF6602A97B9CFDFA406XAT6M" TargetMode="External"/><Relationship Id="rId156" Type="http://schemas.openxmlformats.org/officeDocument/2006/relationships/hyperlink" Target="consultantplus://offline/ref=6CE049F5DC23C8FECAAA43E48537996286A32CDBF7BD3CA7F1F8D2AE5BE3B3EEADB4B7F535FE9A99580600E4E32EFEF6602A97B9CFDFA406XAT6M" TargetMode="External"/><Relationship Id="rId363" Type="http://schemas.openxmlformats.org/officeDocument/2006/relationships/hyperlink" Target="consultantplus://offline/ref=6CE049F5DC23C8FECAAA43E48537996286A72DDCF2B33CA7F1F8D2AE5BE3B3EEADB4B7F535FE9B9E5C0600E4E32EFEF6602A97B9CFDFA406XAT6M" TargetMode="External"/><Relationship Id="rId570" Type="http://schemas.openxmlformats.org/officeDocument/2006/relationships/hyperlink" Target="consultantplus://offline/ref=6CE049F5DC23C8FECAAA43E48537996286A028DCFCB13CA7F1F8D2AE5BE3B3EEADB4B7F535FE9B9B5C0600E4E32EFEF6602A97B9CFDFA406XAT6M" TargetMode="External"/><Relationship Id="rId223" Type="http://schemas.openxmlformats.org/officeDocument/2006/relationships/hyperlink" Target="consultantplus://offline/ref=6CE049F5DC23C8FECAAA43E48537996286A628DCF2B63CA7F1F8D2AE5BE3B3EEADB4B7F535FE989E530600E4E32EFEF6602A97B9CFDFA406XAT6M" TargetMode="External"/><Relationship Id="rId430" Type="http://schemas.openxmlformats.org/officeDocument/2006/relationships/hyperlink" Target="consultantplus://offline/ref=6CE049F5DC23C8FECAAA43E48537996284A62FDDF4B43CA7F1F8D2AE5BE3B3EEADB4B7F535FE9B9F590600E4E32EFEF6602A97B9CFDFA406XAT6M" TargetMode="External"/><Relationship Id="rId668" Type="http://schemas.openxmlformats.org/officeDocument/2006/relationships/hyperlink" Target="consultantplus://offline/ref=6CE049F5DC23C8FECAAA43E48537996284A62FDDF4B43CA7F1F8D2AE5BE3B3EEADB4B7F535FE9A9F590600E4E32EFEF6602A97B9CFDFA406XAT6M" TargetMode="External"/><Relationship Id="rId875" Type="http://schemas.openxmlformats.org/officeDocument/2006/relationships/image" Target="media/image111.wmf"/><Relationship Id="rId1060" Type="http://schemas.openxmlformats.org/officeDocument/2006/relationships/image" Target="media/image214.wmf"/><Relationship Id="rId1298" Type="http://schemas.openxmlformats.org/officeDocument/2006/relationships/hyperlink" Target="consultantplus://offline/ref=6CE049F5DC23C8FECAAA43E48537996286A628DCF2B63CA7F1F8D2AE5BE3B3EEADB4B7F535FE939E5F0600E4E32EFEF6602A97B9CFDFA406XAT6M" TargetMode="External"/><Relationship Id="rId528" Type="http://schemas.openxmlformats.org/officeDocument/2006/relationships/hyperlink" Target="consultantplus://offline/ref=6CE049F5DC23C8FECAAA43E48537996286A72ADFF7B33CA7F1F8D2AE5BE3B3EEADB4B7F535FE9B98590600E4E32EFEF6602A97B9CFDFA406XAT6M" TargetMode="External"/><Relationship Id="rId735" Type="http://schemas.openxmlformats.org/officeDocument/2006/relationships/hyperlink" Target="consultantplus://offline/ref=6CE049F5DC23C8FECAAA43E48537996284A62FDDF5B53CA7F1F8D2AE5BE3B3EEADB4B7F535FE9B98530600E4E32EFEF6602A97B9CFDFA406XAT6M" TargetMode="External"/><Relationship Id="rId942" Type="http://schemas.openxmlformats.org/officeDocument/2006/relationships/hyperlink" Target="consultantplus://offline/ref=6CE049F5DC23C8FECAAA43E48537996286A22EDDF5B33CA7F1F8D2AE5BE3B3EEADB4B7F535FE9A98530600E4E32EFEF6602A97B9CFDFA406XAT6M" TargetMode="External"/><Relationship Id="rId1158" Type="http://schemas.openxmlformats.org/officeDocument/2006/relationships/hyperlink" Target="consultantplus://offline/ref=6CE049F5DC23C8FECAAA43E48537996287AA2DDCFCB63CA7F1F8D2AE5BE3B3EEADB4B7F535FE9B9A5A0600E4E32EFEF6602A97B9CFDFA406XAT6M" TargetMode="External"/><Relationship Id="rId1365" Type="http://schemas.openxmlformats.org/officeDocument/2006/relationships/hyperlink" Target="consultantplus://offline/ref=6CE049F5DC23C8FECAAA43E48537996284A02AD8F1B03CA7F1F8D2AE5BE3B3EEADB4B7F530F5CFC81E5859B7A165F3FC783697B3XDT1M" TargetMode="External"/><Relationship Id="rId1572" Type="http://schemas.openxmlformats.org/officeDocument/2006/relationships/hyperlink" Target="consultantplus://offline/ref=6CE049F5DC23C8FECAAA43E48537996286A628D1FCB73CA7F1F8D2AE5BE3B3EEADB4B7F535FE9B9D5D0600E4E32EFEF6602A97B9CFDFA406XAT6M" TargetMode="External"/><Relationship Id="rId1018" Type="http://schemas.openxmlformats.org/officeDocument/2006/relationships/hyperlink" Target="consultantplus://offline/ref=6CE049F5DC23C8FECAAA43E48537996286A628D1FCB73CA7F1F8D2AE5BE3B3EEADB4B7F535FE9B9D5D0600E4E32EFEF6602A97B9CFDFA406XAT6M" TargetMode="External"/><Relationship Id="rId1225" Type="http://schemas.openxmlformats.org/officeDocument/2006/relationships/hyperlink" Target="consultantplus://offline/ref=6CE049F5DC23C8FECAAA43E48537996287A328DCF4B03CA7F1F8D2AE5BE3B3EEADB4B7F535FE9F9F530600E4E32EFEF6602A97B9CFDFA406XAT6M" TargetMode="External"/><Relationship Id="rId1432" Type="http://schemas.openxmlformats.org/officeDocument/2006/relationships/hyperlink" Target="consultantplus://offline/ref=6CE049F5DC23C8FECAAA43E48537996284A02AD8F1B03CA7F1F8D2AE5BE3B3EEADB4B7F737F990CD0B4901B8A57DEDF46E2A95B1D3XDTDM" TargetMode="External"/><Relationship Id="rId1877" Type="http://schemas.openxmlformats.org/officeDocument/2006/relationships/hyperlink" Target="consultantplus://offline/ref=6CE049F5DC23C8FECAAA43E48537996284A028D0F6B43CA7F1F8D2AE5BE3B3EEADB4B7F535FE989C5F0600E4E32EFEF6602A97B9CFDFA406XAT6M" TargetMode="External"/><Relationship Id="rId71" Type="http://schemas.openxmlformats.org/officeDocument/2006/relationships/hyperlink" Target="consultantplus://offline/ref=6CE049F5DC23C8FECAAA43E48537996284A62FDDF5B53CA7F1F8D2AE5BE3B3EEADB4B7F535FE9B985A0600E4E32EFEF6602A97B9CFDFA406XAT6M" TargetMode="External"/><Relationship Id="rId802" Type="http://schemas.openxmlformats.org/officeDocument/2006/relationships/image" Target="media/image54.wmf"/><Relationship Id="rId1737" Type="http://schemas.openxmlformats.org/officeDocument/2006/relationships/image" Target="media/image439.wmf"/><Relationship Id="rId29" Type="http://schemas.openxmlformats.org/officeDocument/2006/relationships/hyperlink" Target="consultantplus://offline/ref=6CE049F5DC23C8FECAAA43E48537996287A32DDFF3B23CA7F1F8D2AE5BE3B3EEADB4B7F535FE9A98580600E4E32EFEF6602A97B9CFDFA406XAT6M" TargetMode="External"/><Relationship Id="rId178" Type="http://schemas.openxmlformats.org/officeDocument/2006/relationships/hyperlink" Target="consultantplus://offline/ref=6CE049F5DC23C8FECAAA43E48537996284A727D0F4B33CA7F1F8D2AE5BE3B3EEADB4B7F535FE9B9C5B0600E4E32EFEF6602A97B9CFDFA406XAT6M" TargetMode="External"/><Relationship Id="rId1804" Type="http://schemas.openxmlformats.org/officeDocument/2006/relationships/image" Target="media/image500.wmf"/><Relationship Id="rId385" Type="http://schemas.openxmlformats.org/officeDocument/2006/relationships/hyperlink" Target="consultantplus://offline/ref=6CE049F5DC23C8FECAAA43E48537996287A02FDEF5B13CA7F1F8D2AE5BE3B3EEADB4B7F535FE9A9B520600E4E32EFEF6602A97B9CFDFA406XAT6M" TargetMode="External"/><Relationship Id="rId592" Type="http://schemas.openxmlformats.org/officeDocument/2006/relationships/hyperlink" Target="consultantplus://offline/ref=6CE049F5DC23C8FECAAA43E48537996287A226DDF5B13CA7F1F8D2AE5BE3B3EEADB4B7F535FE9A9C590600E4E32EFEF6602A97B9CFDFA406XAT6M" TargetMode="External"/><Relationship Id="rId245" Type="http://schemas.openxmlformats.org/officeDocument/2006/relationships/hyperlink" Target="consultantplus://offline/ref=6CE049F5DC23C8FECAAA43E48537996286A628DCF2B63CA7F1F8D2AE5BE3B3EEADB4B7F53CFE98920E5C10E0AA79F5EA663C89B3D1DFXAT4M" TargetMode="External"/><Relationship Id="rId452" Type="http://schemas.openxmlformats.org/officeDocument/2006/relationships/image" Target="media/image6.wmf"/><Relationship Id="rId897" Type="http://schemas.openxmlformats.org/officeDocument/2006/relationships/image" Target="media/image123.wmf"/><Relationship Id="rId1082" Type="http://schemas.openxmlformats.org/officeDocument/2006/relationships/image" Target="media/image229.wmf"/><Relationship Id="rId105" Type="http://schemas.openxmlformats.org/officeDocument/2006/relationships/hyperlink" Target="consultantplus://offline/ref=6CE049F5DC23C8FECAAA43E48537996287AA29D1F3B63CA7F1F8D2AE5BE3B3EEADB4B7F535FE9B9F590600E4E32EFEF6602A97B9CFDFA406XAT6M" TargetMode="External"/><Relationship Id="rId312" Type="http://schemas.openxmlformats.org/officeDocument/2006/relationships/hyperlink" Target="consultantplus://offline/ref=6CE049F5DC23C8FECAAA43E48537996286A72ED9F7B63CA7F1F8D2AE5BE3B3EEADB4B7F535FE9B9C590600E4E32EFEF6602A97B9CFDFA406XAT6M" TargetMode="External"/><Relationship Id="rId757" Type="http://schemas.openxmlformats.org/officeDocument/2006/relationships/hyperlink" Target="consultantplus://offline/ref=6CE049F5DC23C8FECAAA43E48537996286A628DDF6B33CA7F1F8D2AE5BE3B3EEADB4B7F535FE9B9F5F0600E4E32EFEF6602A97B9CFDFA406XAT6M" TargetMode="External"/><Relationship Id="rId964" Type="http://schemas.openxmlformats.org/officeDocument/2006/relationships/image" Target="media/image159.wmf"/><Relationship Id="rId1387" Type="http://schemas.openxmlformats.org/officeDocument/2006/relationships/hyperlink" Target="consultantplus://offline/ref=6CE049F5DC23C8FECAAA43E48537996284A02AD8F1B03CA7F1F8D2AE5BE3B3EEADB4B7F535FE939C520600E4E32EFEF6602A97B9CFDFA406XAT6M" TargetMode="External"/><Relationship Id="rId1594" Type="http://schemas.openxmlformats.org/officeDocument/2006/relationships/image" Target="media/image318.wmf"/><Relationship Id="rId93" Type="http://schemas.openxmlformats.org/officeDocument/2006/relationships/hyperlink" Target="consultantplus://offline/ref=6CE049F5DC23C8FECAAA43E48537996287A32FD8FDBD3CA7F1F8D2AE5BE3B3EEADB4B7F535FE9D9A530600E4E32EFEF6602A97B9CFDFA406XAT6M" TargetMode="External"/><Relationship Id="rId617" Type="http://schemas.openxmlformats.org/officeDocument/2006/relationships/hyperlink" Target="consultantplus://offline/ref=6CE049F5DC23C8FECAAA43E48537996287AA2DDEF7B23CA7F1F8D2AE5BE3B3EEADB4B7F535FE9B9D520600E4E32EFEF6602A97B9CFDFA406XAT6M" TargetMode="External"/><Relationship Id="rId824" Type="http://schemas.openxmlformats.org/officeDocument/2006/relationships/image" Target="media/image74.wmf"/><Relationship Id="rId1247" Type="http://schemas.openxmlformats.org/officeDocument/2006/relationships/hyperlink" Target="consultantplus://offline/ref=6CE049F5DC23C8FECAAA43E48537996287A328DCF4B03CA7F1F8D2AE5BE3B3EEADB4B7F535FE9F91520600E4E32EFEF6602A97B9CFDFA406XAT6M" TargetMode="External"/><Relationship Id="rId1454" Type="http://schemas.openxmlformats.org/officeDocument/2006/relationships/hyperlink" Target="consultantplus://offline/ref=6CE049F5DC23C8FECAAA43E48537996286A62DD9F1B63CA7F1F8D2AE5BE3B3EEBFB4EFF937F88599521356B5A5X7TBM" TargetMode="External"/><Relationship Id="rId1661" Type="http://schemas.openxmlformats.org/officeDocument/2006/relationships/image" Target="media/image376.wmf"/><Relationship Id="rId1107" Type="http://schemas.openxmlformats.org/officeDocument/2006/relationships/hyperlink" Target="consultantplus://offline/ref=6CE049F5DC23C8FECAAA43E48537996287AA29DBF2B53CA7F1F8D2AE5BE3B3EEADB4B7F535FE9B9C5C0600E4E32EFEF6602A97B9CFDFA406XAT6M" TargetMode="External"/><Relationship Id="rId1314" Type="http://schemas.openxmlformats.org/officeDocument/2006/relationships/hyperlink" Target="consultantplus://offline/ref=6CE049F5DC23C8FECAAA43E48537996284A02AD8F1B03CA7F1F8D2AE5BE3B3EEADB4B7F535FE9F9D5A0600E4E32EFEF6602A97B9CFDFA406XAT6M" TargetMode="External"/><Relationship Id="rId1521" Type="http://schemas.openxmlformats.org/officeDocument/2006/relationships/hyperlink" Target="consultantplus://offline/ref=6CE049F5DC23C8FECAAA4AFD8237996280A32FDCF7B73CA7F1F8D2AE5BE3B3EEBFB4EFF937F88599521356B5A5X7TBM" TargetMode="External"/><Relationship Id="rId1759" Type="http://schemas.openxmlformats.org/officeDocument/2006/relationships/image" Target="media/image459.wmf"/><Relationship Id="rId1619" Type="http://schemas.openxmlformats.org/officeDocument/2006/relationships/image" Target="media/image340.wmf"/><Relationship Id="rId1826" Type="http://schemas.openxmlformats.org/officeDocument/2006/relationships/image" Target="media/image519.wmf"/><Relationship Id="rId20" Type="http://schemas.openxmlformats.org/officeDocument/2006/relationships/hyperlink" Target="consultantplus://offline/ref=6CE049F5DC23C8FECAAA43E48537996284AA2DDDFCB43CA7F1F8D2AE5BE3B3EEADB4B7F535FE9B9D5F0600E4E32EFEF6602A97B9CFDFA406XAT6M" TargetMode="External"/><Relationship Id="rId267" Type="http://schemas.openxmlformats.org/officeDocument/2006/relationships/hyperlink" Target="consultantplus://offline/ref=6CE049F5DC23C8FECAAA43E48537996286A72ED9F7B63CA7F1F8D2AE5BE3B3EEADB4B7F535FE9B9D5E0600E4E32EFEF6602A97B9CFDFA406XAT6M" TargetMode="External"/><Relationship Id="rId474" Type="http://schemas.openxmlformats.org/officeDocument/2006/relationships/hyperlink" Target="consultantplus://offline/ref=6CE049F5DC23C8FECAAA43E48537996286A72ED1F4B63CA7F1F8D2AE5BE3B3EEADB4B7F535FE9B9B530600E4E32EFEF6602A97B9CFDFA406XAT6M" TargetMode="External"/><Relationship Id="rId127" Type="http://schemas.openxmlformats.org/officeDocument/2006/relationships/hyperlink" Target="consultantplus://offline/ref=6CE049F5DC23C8FECAAA43E48537996284A52BDCFDB13CA7F1F8D2AE5BE3B3EEADB4B7F535FE9A985E0600E4E32EFEF6602A97B9CFDFA406XAT6M" TargetMode="External"/><Relationship Id="rId681" Type="http://schemas.openxmlformats.org/officeDocument/2006/relationships/hyperlink" Target="consultantplus://offline/ref=6CE049F5DC23C8FECAAA43E48537996286A729DAFCB03CA7F1F8D2AE5BE3B3EEADB4B7F535FE9B9B5D0600E4E32EFEF6602A97B9CFDFA406XAT6M" TargetMode="External"/><Relationship Id="rId779" Type="http://schemas.openxmlformats.org/officeDocument/2006/relationships/image" Target="media/image35.wmf"/><Relationship Id="rId986" Type="http://schemas.openxmlformats.org/officeDocument/2006/relationships/image" Target="media/image173.wmf"/><Relationship Id="rId334" Type="http://schemas.openxmlformats.org/officeDocument/2006/relationships/hyperlink" Target="consultantplus://offline/ref=6CE049F5DC23C8FECAAA43E48537996284A52BDCFDB13CA7F1F8D2AE5BE3B3EEADB4B7F535FE9A915A0600E4E32EFEF6602A97B9CFDFA406XAT6M" TargetMode="External"/><Relationship Id="rId541" Type="http://schemas.openxmlformats.org/officeDocument/2006/relationships/hyperlink" Target="consultantplus://offline/ref=6CE049F5DC23C8FECAAA43E48537996286A72ADFF7B33CA7F1F8D2AE5BE3B3EEADB4B7F535FE9B98590600E4E32EFEF6602A97B9CFDFA406XAT6M" TargetMode="External"/><Relationship Id="rId639" Type="http://schemas.openxmlformats.org/officeDocument/2006/relationships/hyperlink" Target="consultantplus://offline/ref=6CE049F5DC23C8FECAAA43E48537996286A32CDBF7BD3CA7F1F8D2AE5BE3B3EEADB4B7F535FE9A9A5A0600E4E32EFEF6602A97B9CFDFA406XAT6M" TargetMode="External"/><Relationship Id="rId1171" Type="http://schemas.openxmlformats.org/officeDocument/2006/relationships/hyperlink" Target="consultantplus://offline/ref=6CE049F5DC23C8FECAAA43E48537996287A02CDEF5B13CA7F1F8D2AE5BE3B3EEADB4B7F535FE9B9F5B0600E4E32EFEF6602A97B9CFDFA406XAT6M" TargetMode="External"/><Relationship Id="rId1269" Type="http://schemas.openxmlformats.org/officeDocument/2006/relationships/hyperlink" Target="consultantplus://offline/ref=6CE049F5DC23C8FECAAA43E48537996284A02ADBF0B53CA7F1F8D2AE5BE3B3EEADB4B7F233F5CFC81E5859B7A165F3FC783697B3XDT1M" TargetMode="External"/><Relationship Id="rId1476" Type="http://schemas.openxmlformats.org/officeDocument/2006/relationships/hyperlink" Target="consultantplus://offline/ref=6CE049F5DC23C8FECAAA43E48537996284A026DDF2B13CA7F1F8D2AE5BE3B3EEADB4B7F535FE98915D0600E4E32EFEF6602A97B9CFDFA406XAT6M" TargetMode="External"/><Relationship Id="rId401" Type="http://schemas.openxmlformats.org/officeDocument/2006/relationships/hyperlink" Target="consultantplus://offline/ref=6CE049F5DC23C8FECAAA43E48537996284A62FDDF4B43CA7F1F8D2AE5BE3B3EEADB4B7F535FE9B9C5D0600E4E32EFEF6602A97B9CFDFA406XAT6M" TargetMode="External"/><Relationship Id="rId846" Type="http://schemas.openxmlformats.org/officeDocument/2006/relationships/hyperlink" Target="consultantplus://offline/ref=6CE049F5DC23C8FECAAA43E48537996286A628D1FCB73CA7F1F8D2AE5BE3B3EEADB4B7F535FE9B9D5D0600E4E32EFEF6602A97B9CFDFA406XAT6M" TargetMode="External"/><Relationship Id="rId1031" Type="http://schemas.openxmlformats.org/officeDocument/2006/relationships/image" Target="media/image200.wmf"/><Relationship Id="rId1129" Type="http://schemas.openxmlformats.org/officeDocument/2006/relationships/hyperlink" Target="consultantplus://offline/ref=6CE049F5DC23C8FECAAA43E48537996287A328DCF4B03CA7F1F8D2AE5BE3B3EEADB4B7F535FE9A9A590600E4E32EFEF6602A97B9CFDFA406XAT6M" TargetMode="External"/><Relationship Id="rId1683" Type="http://schemas.openxmlformats.org/officeDocument/2006/relationships/image" Target="media/image394.wmf"/><Relationship Id="rId706" Type="http://schemas.openxmlformats.org/officeDocument/2006/relationships/hyperlink" Target="consultantplus://offline/ref=6CE049F5DC23C8FECAAA43E48537996286A028DCFCB13CA7F1F8D2AE5BE3B3EEADB4B7F535FE9B9D590600E4E32EFEF6602A97B9CFDFA406XAT6M" TargetMode="External"/><Relationship Id="rId913" Type="http://schemas.openxmlformats.org/officeDocument/2006/relationships/image" Target="media/image132.wmf"/><Relationship Id="rId1336" Type="http://schemas.openxmlformats.org/officeDocument/2006/relationships/hyperlink" Target="consultantplus://offline/ref=6CE049F5DC23C8FECAAA43E48537996284A02AD8F1B03CA7F1F8D2AE5BE3B3EEADB4B7F535FE9E9B5B0600E4E32EFEF6602A97B9CFDFA406XAT6M" TargetMode="External"/><Relationship Id="rId1543" Type="http://schemas.openxmlformats.org/officeDocument/2006/relationships/image" Target="media/image271.wmf"/><Relationship Id="rId1750" Type="http://schemas.openxmlformats.org/officeDocument/2006/relationships/image" Target="media/image450.wmf"/><Relationship Id="rId42" Type="http://schemas.openxmlformats.org/officeDocument/2006/relationships/hyperlink" Target="consultantplus://offline/ref=6CE049F5DC23C8FECAAA43E48537996286A22ED1FCB03CA7F1F8D2AE5BE3B3EEADB4B7F535FE9B9A5E0600E4E32EFEF6602A97B9CFDFA406XAT6M" TargetMode="External"/><Relationship Id="rId1403" Type="http://schemas.openxmlformats.org/officeDocument/2006/relationships/hyperlink" Target="consultantplus://offline/ref=6CE049F5DC23C8FECAAA43E48537996284A02AD8F1B03CA7F1F8D2AE5BE3B3EEADB4B7F535FE9391580600E4E32EFEF6602A97B9CFDFA406XAT6M" TargetMode="External"/><Relationship Id="rId1610" Type="http://schemas.openxmlformats.org/officeDocument/2006/relationships/image" Target="media/image332.wmf"/><Relationship Id="rId1848" Type="http://schemas.openxmlformats.org/officeDocument/2006/relationships/image" Target="media/image532.wmf"/><Relationship Id="rId191" Type="http://schemas.openxmlformats.org/officeDocument/2006/relationships/hyperlink" Target="consultantplus://offline/ref=6CE049F5DC23C8FECAAA43E48537996286A628DCF2B63CA7F1F8D2AE5BE3B3EEADB4B7F535FE9E9F5E0600E4E32EFEF6602A97B9CFDFA406XAT6M" TargetMode="External"/><Relationship Id="rId1708" Type="http://schemas.openxmlformats.org/officeDocument/2006/relationships/image" Target="media/image415.wmf"/><Relationship Id="rId289" Type="http://schemas.openxmlformats.org/officeDocument/2006/relationships/hyperlink" Target="consultantplus://offline/ref=6CE049F5DC23C8FECAAA43E48537996287A328DCF4B03CA7F1F8D2AE5BE3B3EEADB4B7F535FE9B9E5A0600E4E32EFEF6602A97B9CFDFA406XAT6M" TargetMode="External"/><Relationship Id="rId496" Type="http://schemas.openxmlformats.org/officeDocument/2006/relationships/hyperlink" Target="consultantplus://offline/ref=6CE049F5DC23C8FECAAA43E48537996287A328DCF4B03CA7F1F8D2AE5BE3B3EEADB4B7F535FE9B90580600E4E32EFEF6602A97B9CFDFA406XAT6M" TargetMode="External"/><Relationship Id="rId149" Type="http://schemas.openxmlformats.org/officeDocument/2006/relationships/hyperlink" Target="consultantplus://offline/ref=6CE049F5DC23C8FECAAA43E48537996287AA2DDEF7B23CA7F1F8D2AE5BE3B3EEADB4B7F535FE9B985F0600E4E32EFEF6602A97B9CFDFA406XAT6M" TargetMode="External"/><Relationship Id="rId356" Type="http://schemas.openxmlformats.org/officeDocument/2006/relationships/hyperlink" Target="consultantplus://offline/ref=6CE049F5DC23C8FECAAA43E48537996287A02FDEF5B13CA7F1F8D2AE5BE3B3EEADB4B7F535FE9A985A0600E4E32EFEF6602A97B9CFDFA406XAT6M" TargetMode="External"/><Relationship Id="rId563" Type="http://schemas.openxmlformats.org/officeDocument/2006/relationships/hyperlink" Target="consultantplus://offline/ref=6CE049F5DC23C8FECAAA43E48537996286A028DCFCB13CA7F1F8D2AE5BE3B3EEADB4B7F535FE9B9B580600E4E32EFEF6602A97B9CFDFA406XAT6M" TargetMode="External"/><Relationship Id="rId770" Type="http://schemas.openxmlformats.org/officeDocument/2006/relationships/image" Target="media/image28.wmf"/><Relationship Id="rId1193" Type="http://schemas.openxmlformats.org/officeDocument/2006/relationships/hyperlink" Target="consultantplus://offline/ref=6CE049F5DC23C8FECAAA43E48537996287A328DCF4B03CA7F1F8D2AE5BE3B3EEADB4B7F535FE9990520600E4E32EFEF6602A97B9CFDFA406XAT6M" TargetMode="External"/><Relationship Id="rId216" Type="http://schemas.openxmlformats.org/officeDocument/2006/relationships/hyperlink" Target="consultantplus://offline/ref=6CE049F5DC23C8FECAAA43E48537996284A62FDDF4B43CA7F1F8D2AE5BE3B3EEADB4B7F535FE9B9C5B0600E4E32EFEF6602A97B9CFDFA406XAT6M" TargetMode="External"/><Relationship Id="rId423" Type="http://schemas.openxmlformats.org/officeDocument/2006/relationships/hyperlink" Target="consultantplus://offline/ref=6CE049F5DC23C8FECAAA43E48537996284A429D1F7B63CA7F1F8D2AE5BE3B3EEADB4B7F535FE9E9C580600E4E32EFEF6602A97B9CFDFA406XAT6M" TargetMode="External"/><Relationship Id="rId868" Type="http://schemas.openxmlformats.org/officeDocument/2006/relationships/image" Target="media/image108.wmf"/><Relationship Id="rId1053" Type="http://schemas.openxmlformats.org/officeDocument/2006/relationships/image" Target="media/image212.wmf"/><Relationship Id="rId1260" Type="http://schemas.openxmlformats.org/officeDocument/2006/relationships/hyperlink" Target="consultantplus://offline/ref=6CE049F5DC23C8FECAAA43E48537996284A02ADBF0B53CA7F1F8D2AE5BE3B3EEADB4B7F535FE9B985A0600E4E32EFEF6602A97B9CFDFA406XAT6M" TargetMode="External"/><Relationship Id="rId1498" Type="http://schemas.openxmlformats.org/officeDocument/2006/relationships/hyperlink" Target="consultantplus://offline/ref=6CE049F5DC23C8FECAAA43E48537996284A026DDF2B13CA7F1F8D2AE5BE3B3EEADB4B7F535FE9D9B5F0600E4E32EFEF6602A97B9CFDFA406XAT6M" TargetMode="External"/><Relationship Id="rId630" Type="http://schemas.openxmlformats.org/officeDocument/2006/relationships/hyperlink" Target="consultantplus://offline/ref=6CE049F5DC23C8FECAAA43E48537996286A028DCFCB13CA7F1F8D2AE5BE3B3EEADB4B7F535FE9B9A530600E4E32EFEF6602A97B9CFDFA406XAT6M" TargetMode="External"/><Relationship Id="rId728" Type="http://schemas.openxmlformats.org/officeDocument/2006/relationships/hyperlink" Target="consultantplus://offline/ref=6CE049F5DC23C8FECAAA43E48537996284A62FDDF5B53CA7F1F8D2AE5BE3B3EEADB4B7F535FE9B985D0600E4E32EFEF6602A97B9CFDFA406XAT6M" TargetMode="External"/><Relationship Id="rId935" Type="http://schemas.openxmlformats.org/officeDocument/2006/relationships/hyperlink" Target="consultantplus://offline/ref=6CE049F5DC23C8FECAAA43E48537996286A22EDDF5B33CA7F1F8D2AE5BE3B3EEADB4B7F535FE9A98520600E4E32EFEF6602A97B9CFDFA406XAT6M" TargetMode="External"/><Relationship Id="rId1358" Type="http://schemas.openxmlformats.org/officeDocument/2006/relationships/hyperlink" Target="consultantplus://offline/ref=6CE049F5DC23C8FECAAA43E48537996284A02AD8F1B03CA7F1F8D2AE5BE3B3EEADB4B7F535FE93995B0600E4E32EFEF6602A97B9CFDFA406XAT6M" TargetMode="External"/><Relationship Id="rId1565" Type="http://schemas.openxmlformats.org/officeDocument/2006/relationships/image" Target="media/image293.wmf"/><Relationship Id="rId1772" Type="http://schemas.openxmlformats.org/officeDocument/2006/relationships/image" Target="media/image470.wmf"/><Relationship Id="rId64" Type="http://schemas.openxmlformats.org/officeDocument/2006/relationships/hyperlink" Target="consultantplus://offline/ref=6CE049F5DC23C8FECAAA43E48537996287A326D1F7B73CA7F1F8D2AE5BE3B3EEADB4B7F535FE9A9B5A0600E4E32EFEF6602A97B9CFDFA406XAT6M" TargetMode="External"/><Relationship Id="rId1120" Type="http://schemas.openxmlformats.org/officeDocument/2006/relationships/hyperlink" Target="consultantplus://offline/ref=6CE049F5DC23C8FECAAA43E48537996286A02AD9F1B53CA7F1F8D2AE5BE3B3EEADB4B7F535FE9E9C5B0600E4E32EFEF6602A97B9CFDFA406XAT6M" TargetMode="External"/><Relationship Id="rId1218" Type="http://schemas.openxmlformats.org/officeDocument/2006/relationships/hyperlink" Target="consultantplus://offline/ref=6CE049F5DC23C8FECAAA43E48537996287A328DCF4B03CA7F1F8D2AE5BE3B3EEADB4B7F535FE9F9A5D0600E4E32EFEF6602A97B9CFDFA406XAT6M" TargetMode="External"/><Relationship Id="rId1425" Type="http://schemas.openxmlformats.org/officeDocument/2006/relationships/hyperlink" Target="consultantplus://offline/ref=6CE049F5DC23C8FECAAA43E48537996284A02AD8F1B03CA7F1F8D2AE5BE3B3EEADB4B7F634FC90CD0B4901B8A57DEDF46E2A95B1D3XDTDM" TargetMode="External"/><Relationship Id="rId1632" Type="http://schemas.openxmlformats.org/officeDocument/2006/relationships/hyperlink" Target="consultantplus://offline/ref=6CE049F5DC23C8FECAAA43E48537996286A628D1FCB73CA7F1F8D2AE5BE3B3EEADB4B7F535FE9B9D5D0600E4E32EFEF6602A97B9CFDFA406XAT6M" TargetMode="External"/><Relationship Id="rId280" Type="http://schemas.openxmlformats.org/officeDocument/2006/relationships/hyperlink" Target="consultantplus://offline/ref=6CE049F5DC23C8FECAAA43E48537996286A628DCF3BC3CA7F1F8D2AE5BE3B3EEADB4B7F535FE9B9F5C0600E4E32EFEF6602A97B9CFDFA406XAT6M" TargetMode="External"/><Relationship Id="rId140" Type="http://schemas.openxmlformats.org/officeDocument/2006/relationships/hyperlink" Target="consultantplus://offline/ref=6CE049F5DC23C8FECAAA43E48537996286A729DAFCB03CA7F1F8D2AE5BE3B3EEADB4B7F535FF9F9A5A0600E4E32EFEF6602A97B9CFDFA406XAT6M" TargetMode="External"/><Relationship Id="rId378" Type="http://schemas.openxmlformats.org/officeDocument/2006/relationships/hyperlink" Target="consultantplus://offline/ref=6CE049F5DC23C8FECAAA43E48537996287A02FDEF5B13CA7F1F8D2AE5BE3B3EEADB4B7F535FE9A985F0600E4E32EFEF6602A97B9CFDFA406XAT6M" TargetMode="External"/><Relationship Id="rId585" Type="http://schemas.openxmlformats.org/officeDocument/2006/relationships/hyperlink" Target="consultantplus://offline/ref=6CE049F5DC23C8FECAAA43E48537996286A028DCFCB13CA7F1F8D2AE5BE3B3EEADB4B7F535FE9B9B520600E4E32EFEF6602A97B9CFDFA406XAT6M" TargetMode="External"/><Relationship Id="rId792" Type="http://schemas.openxmlformats.org/officeDocument/2006/relationships/image" Target="media/image44.wmf"/><Relationship Id="rId6" Type="http://schemas.openxmlformats.org/officeDocument/2006/relationships/hyperlink" Target="consultantplus://offline/ref=6CE049F5DC23C8FECAAA43E48537996284A62FDDF4B43CA7F1F8D2AE5BE3B3EEADB4B7F535FE9B9A530600E4E32EFEF6602A97B9CFDFA406XAT6M" TargetMode="External"/><Relationship Id="rId238" Type="http://schemas.openxmlformats.org/officeDocument/2006/relationships/hyperlink" Target="consultantplus://offline/ref=6CE049F5DC23C8FECAAA43E48537996286A628DCF2B63CA7F1F8D2AE5BE3B3EEADB4B7F535FE989E530600E4E32EFEF6602A97B9CFDFA406XAT6M" TargetMode="External"/><Relationship Id="rId445" Type="http://schemas.openxmlformats.org/officeDocument/2006/relationships/hyperlink" Target="consultantplus://offline/ref=6CE049F5DC23C8FECAAA43E48537996286A72ED1F4B63CA7F1F8D2AE5BE3B3EEADB4B7F535FE9B9B530600E4E32EFEF6602A97B9CFDFA406XAT6M" TargetMode="External"/><Relationship Id="rId652" Type="http://schemas.openxmlformats.org/officeDocument/2006/relationships/hyperlink" Target="consultantplus://offline/ref=6CE049F5DC23C8FECAAA43E48537996286A32CDBF7BD3CA7F1F8D2AE5BE3B3EEADB4B7F535FE9A9A5F0600E4E32EFEF6602A97B9CFDFA406XAT6M" TargetMode="External"/><Relationship Id="rId1075" Type="http://schemas.openxmlformats.org/officeDocument/2006/relationships/image" Target="media/image222.wmf"/><Relationship Id="rId1282" Type="http://schemas.openxmlformats.org/officeDocument/2006/relationships/hyperlink" Target="consultantplus://offline/ref=6CE049F5DC23C8FECAAA43E48537996284A02AD8F1B03CA7F1F8D2AE5BE3B3EEBFB4EFF937F88599521356B5A5X7TBM" TargetMode="External"/><Relationship Id="rId305" Type="http://schemas.openxmlformats.org/officeDocument/2006/relationships/hyperlink" Target="consultantplus://offline/ref=6CE049F5DC23C8FECAAA43E48537996284A52BDCFDB13CA7F1F8D2AE5BE3B3EEADB4B7F535FE9A9B530600E4E32EFEF6602A97B9CFDFA406XAT6M" TargetMode="External"/><Relationship Id="rId512" Type="http://schemas.openxmlformats.org/officeDocument/2006/relationships/hyperlink" Target="consultantplus://offline/ref=6CE049F5DC23C8FECAAA43E48537996284A52BDCFDB13CA7F1F8D2AE5BE3B3EEADB4B7F535FE9998580600E4E32EFEF6602A97B9CFDFA406XAT6M" TargetMode="External"/><Relationship Id="rId957" Type="http://schemas.openxmlformats.org/officeDocument/2006/relationships/image" Target="media/image156.wmf"/><Relationship Id="rId1142" Type="http://schemas.openxmlformats.org/officeDocument/2006/relationships/hyperlink" Target="consultantplus://offline/ref=6CE049F5DC23C8FECAAA43E48537996284A62FDDF4B43CA7F1F8D2AE5BE3B3EEADB4B7F535FE999C5E0600E4E32EFEF6602A97B9CFDFA406XAT6M" TargetMode="External"/><Relationship Id="rId1587" Type="http://schemas.openxmlformats.org/officeDocument/2006/relationships/image" Target="media/image312.wmf"/><Relationship Id="rId1794" Type="http://schemas.openxmlformats.org/officeDocument/2006/relationships/hyperlink" Target="consultantplus://offline/ref=6CE049F5DC23C8FECAAA43E48537996286A729DAFCB03CA7F1F8D2AE5BE3B3EEADB4B7F535FE9B9B5D0600E4E32EFEF6602A97B9CFDFA406XAT6M" TargetMode="External"/><Relationship Id="rId86" Type="http://schemas.openxmlformats.org/officeDocument/2006/relationships/hyperlink" Target="consultantplus://offline/ref=6CE049F5DC23C8FECAAA43E48537996286A028D8F3B73CA7F1F8D2AE5BE3B3EEADB4B7F535FE99915F0600E4E32EFEF6602A97B9CFDFA406XAT6M" TargetMode="External"/><Relationship Id="rId817" Type="http://schemas.openxmlformats.org/officeDocument/2006/relationships/image" Target="media/image67.wmf"/><Relationship Id="rId1002" Type="http://schemas.openxmlformats.org/officeDocument/2006/relationships/image" Target="media/image182.wmf"/><Relationship Id="rId1447" Type="http://schemas.openxmlformats.org/officeDocument/2006/relationships/hyperlink" Target="consultantplus://offline/ref=6CE049F5DC23C8FECAAA43E48537996284A026DDF2B63CA7F1F8D2AE5BE3B3EEADB4B7F535FE9A9D5A0600E4E32EFEF6602A97B9CFDFA406XAT6M" TargetMode="External"/><Relationship Id="rId1654" Type="http://schemas.openxmlformats.org/officeDocument/2006/relationships/image" Target="media/image370.wmf"/><Relationship Id="rId1861" Type="http://schemas.openxmlformats.org/officeDocument/2006/relationships/hyperlink" Target="consultantplus://offline/ref=6CE049F5DC23C8FECAAA43E4853799628DA726DDF5BE61ADF9A1DEAC5CECECEBAAA5B7F633E09B91440F54B7XAT7M" TargetMode="External"/><Relationship Id="rId1307" Type="http://schemas.openxmlformats.org/officeDocument/2006/relationships/hyperlink" Target="consultantplus://offline/ref=6CE049F5DC23C8FECAAA43E48537996284A02AD8F1B03CA7F1F8D2AE5BE3B3EEADB4B7F535FE9F9A5A0600E4E32EFEF6602A97B9CFDFA406XAT6M" TargetMode="External"/><Relationship Id="rId1514" Type="http://schemas.openxmlformats.org/officeDocument/2006/relationships/hyperlink" Target="consultantplus://offline/ref=6CE049F5DC23C8FECAAA43E48537996284A028D0F6B43CA7F1F8D2AE5BE3B3EEADB4B7F535FE9B9B5E0600E4E32EFEF6602A97B9CFDFA406XAT6M" TargetMode="External"/><Relationship Id="rId1721" Type="http://schemas.openxmlformats.org/officeDocument/2006/relationships/image" Target="media/image428.wmf"/><Relationship Id="rId13" Type="http://schemas.openxmlformats.org/officeDocument/2006/relationships/hyperlink" Target="consultantplus://offline/ref=6CE049F5DC23C8FECAAA43E48537996284A429D1F7B63CA7F1F8D2AE5BE3B3EEADB4B7F535FE9E9C5A0600E4E32EFEF6602A97B9CFDFA406XAT6M" TargetMode="External"/><Relationship Id="rId1819" Type="http://schemas.openxmlformats.org/officeDocument/2006/relationships/image" Target="media/image513.wmf"/><Relationship Id="rId162" Type="http://schemas.openxmlformats.org/officeDocument/2006/relationships/hyperlink" Target="consultantplus://offline/ref=6CE049F5DC23C8FECAAA43E48537996287A328DCF4B03CA7F1F8D2AE5BE3B3EEADB4B7F535FE9B9C5D0600E4E32EFEF6602A97B9CFDFA406XAT6M" TargetMode="External"/><Relationship Id="rId467" Type="http://schemas.openxmlformats.org/officeDocument/2006/relationships/hyperlink" Target="consultantplus://offline/ref=6CE049F5DC23C8FECAAA43E48537996286A62DDCFCB43CA7F1F8D2AE5BE3B3EEADB4B7F535FE9B9A5D0600E4E32EFEF6602A97B9CFDFA406XAT6M" TargetMode="External"/><Relationship Id="rId1097" Type="http://schemas.openxmlformats.org/officeDocument/2006/relationships/image" Target="media/image242.wmf"/><Relationship Id="rId674" Type="http://schemas.openxmlformats.org/officeDocument/2006/relationships/hyperlink" Target="consultantplus://offline/ref=6CE049F5DC23C8FECAAA43E48537996287A22AD1F3B13CA7F1F8D2AE5BE3B3EEADB4B7F535FE9B9A5E0600E4E32EFEF6602A97B9CFDFA406XAT6M" TargetMode="External"/><Relationship Id="rId881" Type="http://schemas.openxmlformats.org/officeDocument/2006/relationships/image" Target="media/image115.wmf"/><Relationship Id="rId979" Type="http://schemas.openxmlformats.org/officeDocument/2006/relationships/hyperlink" Target="consultantplus://offline/ref=6CE049F5DC23C8FECAAA43E48537996286A22EDDF5B33CA7F1F8D2AE5BE3B3EEADB4B7F535FE9A9A5F0600E4E32EFEF6602A97B9CFDFA406XAT6M" TargetMode="External"/><Relationship Id="rId327" Type="http://schemas.openxmlformats.org/officeDocument/2006/relationships/hyperlink" Target="consultantplus://offline/ref=6CE049F5DC23C8FECAAA43E48537996284A52BDFF1BC3CA7F1F8D2AE5BE3B3EEADB4B7F535FE9B985B0600E4E32EFEF6602A97B9CFDFA406XAT6M" TargetMode="External"/><Relationship Id="rId534" Type="http://schemas.openxmlformats.org/officeDocument/2006/relationships/hyperlink" Target="consultantplus://offline/ref=6CE049F5DC23C8FECAAA43E48537996286A72ADFF7B33CA7F1F8D2AE5BE3B3EEADB4B7F535FE9B98590600E4E32EFEF6602A97B9CFDFA406XAT6M" TargetMode="External"/><Relationship Id="rId741" Type="http://schemas.openxmlformats.org/officeDocument/2006/relationships/hyperlink" Target="consultantplus://offline/ref=6CE049F5DC23C8FECAAA43E48537996286A628DDF6B33CA7F1F8D2AE5BE3B3EEADB4B7F535FE9B9C590600E4E32EFEF6602A97B9CFDFA406XAT6M" TargetMode="External"/><Relationship Id="rId839" Type="http://schemas.openxmlformats.org/officeDocument/2006/relationships/image" Target="media/image89.wmf"/><Relationship Id="rId1164" Type="http://schemas.openxmlformats.org/officeDocument/2006/relationships/hyperlink" Target="consultantplus://offline/ref=6CE049F5DC23C8FECAAA43E48537996287A328DCF4B03CA7F1F8D2AE5BE3B3EEADB4B7F535FE9A9A5C0600E4E32EFEF6602A97B9CFDFA406XAT6M" TargetMode="External"/><Relationship Id="rId1371" Type="http://schemas.openxmlformats.org/officeDocument/2006/relationships/hyperlink" Target="consultantplus://offline/ref=6CE049F5DC23C8FECAAA43E48537996284A02AD8F1B03CA7F1F8D2AE5BE3B3EEADB4B7F535FE939B5D0600E4E32EFEF6602A97B9CFDFA406XAT6M" TargetMode="External"/><Relationship Id="rId1469" Type="http://schemas.openxmlformats.org/officeDocument/2006/relationships/hyperlink" Target="consultantplus://offline/ref=6CE049F5DC23C8FECAAA43E48537996284A026DDF2B13CA7F1F8D2AE5BE3B3EEADB4B7F53EAACADD0F0056B3B97BFBEA643495XBT1M" TargetMode="External"/><Relationship Id="rId601" Type="http://schemas.openxmlformats.org/officeDocument/2006/relationships/hyperlink" Target="consultantplus://offline/ref=6CE049F5DC23C8FECAAA43E48537996287AA2DDEF7B23CA7F1F8D2AE5BE3B3EEADB4B7F535FE9B9A5F0600E4E32EFEF6602A97B9CFDFA406XAT6M" TargetMode="External"/><Relationship Id="rId1024" Type="http://schemas.openxmlformats.org/officeDocument/2006/relationships/hyperlink" Target="consultantplus://offline/ref=6CE049F5DC23C8FECAAA43E48537996287A02FDDF4B63CA7F1F8D2AE5BE3B3EEBFB4EFF937F88599521356B5A5X7TBM" TargetMode="External"/><Relationship Id="rId1231" Type="http://schemas.openxmlformats.org/officeDocument/2006/relationships/hyperlink" Target="consultantplus://offline/ref=6CE049F5DC23C8FECAAA43E48537996286A32CD8F6B23CA7F1F8D2AE5BE3B3EEADB4B7F535FF9998530600E4E32EFEF6602A97B9CFDFA406XAT6M" TargetMode="External"/><Relationship Id="rId1676" Type="http://schemas.openxmlformats.org/officeDocument/2006/relationships/image" Target="media/image388.wmf"/><Relationship Id="rId906" Type="http://schemas.openxmlformats.org/officeDocument/2006/relationships/image" Target="media/image128.wmf"/><Relationship Id="rId1329" Type="http://schemas.openxmlformats.org/officeDocument/2006/relationships/hyperlink" Target="consultantplus://offline/ref=6CE049F5DC23C8FECAAA43E48537996284A02AD8F1B03CA7F1F8D2AE5BE3B3EEADB4B7F535FE9F905F0600E4E32EFEF6602A97B9CFDFA406XAT6M" TargetMode="External"/><Relationship Id="rId1536" Type="http://schemas.openxmlformats.org/officeDocument/2006/relationships/image" Target="media/image264.wmf"/><Relationship Id="rId1743" Type="http://schemas.openxmlformats.org/officeDocument/2006/relationships/image" Target="media/image445.wmf"/><Relationship Id="rId35" Type="http://schemas.openxmlformats.org/officeDocument/2006/relationships/hyperlink" Target="consultantplus://offline/ref=6CE049F5DC23C8FECAAA43E48537996286A02BD0F4BD3CA7F1F8D2AE5BE3B3EEADB4B7F535FE9A9E5E0600E4E32EFEF6602A97B9CFDFA406XAT6M" TargetMode="External"/><Relationship Id="rId1603" Type="http://schemas.openxmlformats.org/officeDocument/2006/relationships/image" Target="media/image325.wmf"/><Relationship Id="rId1810" Type="http://schemas.openxmlformats.org/officeDocument/2006/relationships/image" Target="media/image504.wmf"/><Relationship Id="rId184" Type="http://schemas.openxmlformats.org/officeDocument/2006/relationships/hyperlink" Target="consultantplus://offline/ref=6CE049F5DC23C8FECAAA43E48537996284A727D0F4B33CA7F1F8D2AE5BE3B3EEADB4B7F535FE9B9C5E0600E4E32EFEF6602A97B9CFDFA406XAT6M" TargetMode="External"/><Relationship Id="rId391" Type="http://schemas.openxmlformats.org/officeDocument/2006/relationships/hyperlink" Target="consultantplus://offline/ref=6CE049F5DC23C8FECAAA43E48537996287A02FDEF5B13CA7F1F8D2AE5BE3B3EEADB4B7F535FE9A9A5C0600E4E32EFEF6602A97B9CFDFA406XAT6M" TargetMode="External"/><Relationship Id="rId251" Type="http://schemas.openxmlformats.org/officeDocument/2006/relationships/hyperlink" Target="consultantplus://offline/ref=6CE049F5DC23C8FECAAA43E48537996286A628DCF2B63CA7F1F8D2AE5BE3B3EEADB4B7F535FE989E530600E4E32EFEF6602A97B9CFDFA406XAT6M" TargetMode="External"/><Relationship Id="rId489" Type="http://schemas.openxmlformats.org/officeDocument/2006/relationships/image" Target="media/image25.wmf"/><Relationship Id="rId696" Type="http://schemas.openxmlformats.org/officeDocument/2006/relationships/hyperlink" Target="consultantplus://offline/ref=6CE049F5DC23C8FECAAA43E48537996286A628DDF6B33CA7F1F8D2AE5BE3B3EEADB4B7F535FE9B9B590600E4E32EFEF6602A97B9CFDFA406XAT6M" TargetMode="External"/><Relationship Id="rId349" Type="http://schemas.openxmlformats.org/officeDocument/2006/relationships/hyperlink" Target="consultantplus://offline/ref=6CE049F5DC23C8FECAAA43E48537996287A326D1F7B73CA7F1F8D2AE5BE3B3EEADB4B7F535FE9A9A530600E4E32EFEF6602A97B9CFDFA406XAT6M" TargetMode="External"/><Relationship Id="rId556" Type="http://schemas.openxmlformats.org/officeDocument/2006/relationships/hyperlink" Target="consultantplus://offline/ref=6CE049F5DC23C8FECAAA43E48537996284A62FDDF4B43CA7F1F8D2AE5BE3B3EEADB4B7F535FE9B915E0600E4E32EFEF6602A97B9CFDFA406XAT6M" TargetMode="External"/><Relationship Id="rId763" Type="http://schemas.openxmlformats.org/officeDocument/2006/relationships/hyperlink" Target="consultantplus://offline/ref=6CE049F5DC23C8FECAAA43E48537996286A628DDF6B33CA7F1F8D2AE5BE3B3EEADB4B7F535FE9B9E580600E4E32EFEF6602A97B9CFDFA406XAT6M" TargetMode="External"/><Relationship Id="rId1186" Type="http://schemas.openxmlformats.org/officeDocument/2006/relationships/hyperlink" Target="consultantplus://offline/ref=6CE049F5DC23C8FECAAA43E48537996287A328DCF4B03CA7F1F8D2AE5BE3B3EEADB4B7F535FE999C5D0600E4E32EFEF6602A97B9CFDFA406XAT6M" TargetMode="External"/><Relationship Id="rId1393" Type="http://schemas.openxmlformats.org/officeDocument/2006/relationships/hyperlink" Target="consultantplus://offline/ref=6CE049F5DC23C8FECAAA43E48537996284A02AD8F1B03CA7F1F8D2AE5BE3B3EEADB4B7F535FE9C9A5B0600E4E32EFEF6602A97B9CFDFA406XAT6M" TargetMode="External"/><Relationship Id="rId111" Type="http://schemas.openxmlformats.org/officeDocument/2006/relationships/hyperlink" Target="consultantplus://offline/ref=6CE049F5DC23C8FECAAA43E48537996286A32CDBF7BD3CA7F1F8D2AE5BE3B3EEADB4B7F535FE9A995B0600E4E32EFEF6602A97B9CFDFA406XAT6M" TargetMode="External"/><Relationship Id="rId209" Type="http://schemas.openxmlformats.org/officeDocument/2006/relationships/hyperlink" Target="consultantplus://offline/ref=6CE049F5DC23C8FECAAA43E48537996284A727D0F4B33CA7F1F8D2AE5BE3B3EEADB4B7F535FE9B9F5B0600E4E32EFEF6602A97B9CFDFA406XAT6M" TargetMode="External"/><Relationship Id="rId416" Type="http://schemas.openxmlformats.org/officeDocument/2006/relationships/hyperlink" Target="consultantplus://offline/ref=6CE049F5DC23C8FECAAA43E48537996286A22ED1FCB03CA7F1F8D2AE5BE3B3EEADB4B7F535FE9B9A5D0600E4E32EFEF6602A97B9CFDFA406XAT6M" TargetMode="External"/><Relationship Id="rId970" Type="http://schemas.openxmlformats.org/officeDocument/2006/relationships/hyperlink" Target="consultantplus://offline/ref=6CE049F5DC23C8FECAAA43E48537996286A22EDDF5B33CA7F1F8D2AE5BE3B3EEADB4B7F535FE9A9B530600E4E32EFEF6602A97B9CFDFA406XAT6M" TargetMode="External"/><Relationship Id="rId1046" Type="http://schemas.openxmlformats.org/officeDocument/2006/relationships/image" Target="media/image208.wmf"/><Relationship Id="rId1253" Type="http://schemas.openxmlformats.org/officeDocument/2006/relationships/hyperlink" Target="consultantplus://offline/ref=6CE049F5DC23C8FECAAA43E48537996286A326DDFDB53CA7F1F8D2AE5BE3B3EEADB4B7F535FE9B995C0600E4E32EFEF6602A97B9CFDFA406XAT6M" TargetMode="External"/><Relationship Id="rId1698" Type="http://schemas.openxmlformats.org/officeDocument/2006/relationships/image" Target="media/image406.wmf"/><Relationship Id="rId623" Type="http://schemas.openxmlformats.org/officeDocument/2006/relationships/hyperlink" Target="consultantplus://offline/ref=6CE049F5DC23C8FECAAA43E48537996286A628D1FCB73CA7F1F8D2AE5BE3B3EEADB4B7F535FE9D9A530600E4E32EFEF6602A97B9CFDFA406XAT6M" TargetMode="External"/><Relationship Id="rId830" Type="http://schemas.openxmlformats.org/officeDocument/2006/relationships/image" Target="media/image80.wmf"/><Relationship Id="rId928" Type="http://schemas.openxmlformats.org/officeDocument/2006/relationships/hyperlink" Target="consultantplus://offline/ref=6CE049F5DC23C8FECAAA43E48537996286A22EDDF5B33CA7F1F8D2AE5BE3B3EEADB4B7F535FE9A985F0600E4E32EFEF6602A97B9CFDFA406XAT6M" TargetMode="External"/><Relationship Id="rId1460" Type="http://schemas.openxmlformats.org/officeDocument/2006/relationships/hyperlink" Target="consultantplus://offline/ref=6CE049F5DC23C8FECAAA43E48537996284A026DDF2B63CA7F1F8D2AE5BE3B3EEADB4B7F535FE9390520600E4E32EFEF6602A97B9CFDFA406XAT6M" TargetMode="External"/><Relationship Id="rId1558" Type="http://schemas.openxmlformats.org/officeDocument/2006/relationships/image" Target="media/image286.wmf"/><Relationship Id="rId1765" Type="http://schemas.openxmlformats.org/officeDocument/2006/relationships/image" Target="media/image465.wmf"/><Relationship Id="rId57" Type="http://schemas.openxmlformats.org/officeDocument/2006/relationships/hyperlink" Target="consultantplus://offline/ref=6CE049F5DC23C8FECAAA43E48537996286A72ED1F4B63CA7F1F8D2AE5BE3B3EEADB4B7F535FE9B9B520600E4E32EFEF6602A97B9CFDFA406XAT6M" TargetMode="External"/><Relationship Id="rId1113" Type="http://schemas.openxmlformats.org/officeDocument/2006/relationships/hyperlink" Target="consultantplus://offline/ref=6CE049F5DC23C8FECAAA43E48537996286A02AD9F1B53CA7F1F8D2AE5BE3B3EEADB4B7F535FE9E9C5F0600E4E32EFEF6602A97B9CFDFA406XAT6M" TargetMode="External"/><Relationship Id="rId1320" Type="http://schemas.openxmlformats.org/officeDocument/2006/relationships/hyperlink" Target="consultantplus://offline/ref=6CE049F5DC23C8FECAAA43E48537996284A02AD8F1B03CA7F1F8D2AE5BE3B3EEADB4B7F535FE9F9C520600E4E32EFEF6602A97B9CFDFA406XAT6M" TargetMode="External"/><Relationship Id="rId1418" Type="http://schemas.openxmlformats.org/officeDocument/2006/relationships/hyperlink" Target="consultantplus://offline/ref=6CE049F5DC23C8FECAAA43E48537996284A02AD8F1B03CA7F1F8D2AE5BE3B3EEADB4B7F536F790CD0B4901B8A57DEDF46E2A95B1D3XDTDM" TargetMode="External"/><Relationship Id="rId1625" Type="http://schemas.openxmlformats.org/officeDocument/2006/relationships/image" Target="media/image345.wmf"/><Relationship Id="rId1832" Type="http://schemas.openxmlformats.org/officeDocument/2006/relationships/image" Target="media/image523.wmf"/><Relationship Id="rId273" Type="http://schemas.openxmlformats.org/officeDocument/2006/relationships/hyperlink" Target="consultantplus://offline/ref=6CE049F5DC23C8FECAAA43E48537996286A628DCF2B63CA7F1F8D2AE5BE3B3EEADB4B7F535FE989E530600E4E32EFEF6602A97B9CFDFA406XAT6M" TargetMode="External"/><Relationship Id="rId480" Type="http://schemas.openxmlformats.org/officeDocument/2006/relationships/image" Target="media/image16.wmf"/><Relationship Id="rId133" Type="http://schemas.openxmlformats.org/officeDocument/2006/relationships/hyperlink" Target="consultantplus://offline/ref=6CE049F5DC23C8FECAAA43E48537996286A628DCF2B63CA7F1F8D2AE5BE3B3EEADB4B7F535FE989E530600E4E32EFEF6602A97B9CFDFA406XAT6M" TargetMode="External"/><Relationship Id="rId340" Type="http://schemas.openxmlformats.org/officeDocument/2006/relationships/hyperlink" Target="consultantplus://offline/ref=6CE049F5DC23C8FECAAA43E48537996286A628D1FCB73CA7F1F8D2AE5BE3B3EEADB4B7F535FE9B9D5D0600E4E32EFEF6602A97B9CFDFA406XAT6M" TargetMode="External"/><Relationship Id="rId578" Type="http://schemas.openxmlformats.org/officeDocument/2006/relationships/hyperlink" Target="consultantplus://offline/ref=6CE049F5DC23C8FECAAA43E48537996286A028DCFCB13CA7F1F8D2AE5BE3B3EEADB4B7F535FE9B9B5D0600E4E32EFEF6602A97B9CFDFA406XAT6M" TargetMode="External"/><Relationship Id="rId785" Type="http://schemas.openxmlformats.org/officeDocument/2006/relationships/image" Target="media/image38.wmf"/><Relationship Id="rId992" Type="http://schemas.openxmlformats.org/officeDocument/2006/relationships/image" Target="media/image177.wmf"/><Relationship Id="rId200" Type="http://schemas.openxmlformats.org/officeDocument/2006/relationships/hyperlink" Target="consultantplus://offline/ref=6CE049F5DC23C8FECAAA43E48537996284A727D0F4B33CA7F1F8D2AE5BE3B3EEADB4B7F535FE9B9C530600E4E32EFEF6602A97B9CFDFA406XAT6M" TargetMode="External"/><Relationship Id="rId438" Type="http://schemas.openxmlformats.org/officeDocument/2006/relationships/hyperlink" Target="consultantplus://offline/ref=6CE049F5DC23C8FECAAA43E48537996286A32CDBF7BD3CA7F1F8D2AE5BE3B3EEADB4B7F535FE9A99530600E4E32EFEF6602A97B9CFDFA406XAT6M" TargetMode="External"/><Relationship Id="rId645" Type="http://schemas.openxmlformats.org/officeDocument/2006/relationships/hyperlink" Target="consultantplus://offline/ref=6CE049F5DC23C8FECAAA43E48537996286A028D8F3B73CA7F1F8D2AE5BE3B3EEADB4B7F535FE99915C0600E4E32EFEF6602A97B9CFDFA406XAT6M" TargetMode="External"/><Relationship Id="rId852" Type="http://schemas.openxmlformats.org/officeDocument/2006/relationships/image" Target="media/image97.wmf"/><Relationship Id="rId1068" Type="http://schemas.openxmlformats.org/officeDocument/2006/relationships/hyperlink" Target="consultantplus://offline/ref=6CE049F5DC23C8FECAAA43E48537996286A22EDDF5B33CA7F1F8D2AE5BE3B3EEADB4B7F535FE9A9E5E0600E4E32EFEF6602A97B9CFDFA406XAT6M" TargetMode="External"/><Relationship Id="rId1275" Type="http://schemas.openxmlformats.org/officeDocument/2006/relationships/hyperlink" Target="consultantplus://offline/ref=6CE049F5DC23C8FECAAA43E48537996284A02ADBF0B53CA7F1F8D2AE5BE3B3EEADB4B7F535FE9A9A530600E4E32EFEF6602A97B9CFDFA406XAT6M" TargetMode="External"/><Relationship Id="rId1482" Type="http://schemas.openxmlformats.org/officeDocument/2006/relationships/hyperlink" Target="consultantplus://offline/ref=6CE049F5DC23C8FECAAA43E48537996284A026DDF2B13CA7F1F8D2AE5BE3B3EEADB4B7F535FE9B9D5D0600E4E32EFEF6602A97B9CFDFA406XAT6M" TargetMode="External"/><Relationship Id="rId505" Type="http://schemas.openxmlformats.org/officeDocument/2006/relationships/hyperlink" Target="consultantplus://offline/ref=6CE049F5DC23C8FECAAA43E48537996286A72ED9F7B63CA7F1F8D2AE5BE3B3EEADB4B7F535FE9B9F5F0600E4E32EFEF6602A97B9CFDFA406XAT6M" TargetMode="External"/><Relationship Id="rId712" Type="http://schemas.openxmlformats.org/officeDocument/2006/relationships/hyperlink" Target="consultantplus://offline/ref=6CE049F5DC23C8FECAAA43E48537996286A628DDF6B33CA7F1F8D2AE5BE3B3EEADB4B7F535FE9B9A590600E4E32EFEF6602A97B9CFDFA406XAT6M" TargetMode="External"/><Relationship Id="rId1135" Type="http://schemas.openxmlformats.org/officeDocument/2006/relationships/image" Target="media/image250.wmf"/><Relationship Id="rId1342" Type="http://schemas.openxmlformats.org/officeDocument/2006/relationships/hyperlink" Target="consultantplus://offline/ref=6CE049F5DC23C8FECAAA43E48537996284A02AD8F1B03CA7F1F8D2AE5BE3B3EEADB4B7F535F5CFC81E5859B7A165F3FC783697B3XDT1M" TargetMode="External"/><Relationship Id="rId1787" Type="http://schemas.openxmlformats.org/officeDocument/2006/relationships/image" Target="media/image484.wmf"/><Relationship Id="rId79" Type="http://schemas.openxmlformats.org/officeDocument/2006/relationships/hyperlink" Target="consultantplus://offline/ref=6CE049F5DC23C8FECAAA43E48537996284A429D1F7B63CA7F1F8D2AE5BE3B3EEADB4B7F535FE9E9C5A0600E4E32EFEF6602A97B9CFDFA406XAT6M" TargetMode="External"/><Relationship Id="rId1202" Type="http://schemas.openxmlformats.org/officeDocument/2006/relationships/hyperlink" Target="consultantplus://offline/ref=6CE049F5DC23C8FECAAA43E48537996287A328DCF4B03CA7F1F8D2AE5BE3B3EEADB4B7F535FE989C580600E4E32EFEF6602A97B9CFDFA406XAT6M" TargetMode="External"/><Relationship Id="rId1647" Type="http://schemas.openxmlformats.org/officeDocument/2006/relationships/image" Target="media/image363.wmf"/><Relationship Id="rId1854" Type="http://schemas.openxmlformats.org/officeDocument/2006/relationships/hyperlink" Target="consultantplus://offline/ref=6CE049F5DC23C8FECAAA43E48537996284A028D0F6B43CA7F1F8D2AE5BE3B3EEADB4B7F535FE999F580600E4E32EFEF6602A97B9CFDFA406XAT6M" TargetMode="External"/><Relationship Id="rId1507" Type="http://schemas.openxmlformats.org/officeDocument/2006/relationships/hyperlink" Target="consultantplus://offline/ref=6CE049F5DC23C8FECAAA43E48537996284A028D0F6B43CA7F1F8D2AE5BE3B3EEADB4B7F535FE9B985E0600E4E32EFEF6602A97B9CFDFA406XAT6M" TargetMode="External"/><Relationship Id="rId1714" Type="http://schemas.openxmlformats.org/officeDocument/2006/relationships/image" Target="media/image421.wmf"/><Relationship Id="rId295" Type="http://schemas.openxmlformats.org/officeDocument/2006/relationships/hyperlink" Target="consultantplus://offline/ref=6CE049F5DC23C8FECAAA43E48537996286A729DAFCB03CA7F1F8D2AE5BE3B3EEADB4B7F535FE9B9B5D0600E4E32EFEF6602A97B9CFDFA406XAT6M" TargetMode="External"/><Relationship Id="rId155" Type="http://schemas.openxmlformats.org/officeDocument/2006/relationships/hyperlink" Target="consultantplus://offline/ref=6CE049F5DC23C8FECAAA43E48537996287A328DCF4B03CA7F1F8D2AE5BE3B3EEADB4B7F535FE9B9C5F0600E4E32EFEF6602A97B9CFDFA406XAT6M" TargetMode="External"/><Relationship Id="rId362" Type="http://schemas.openxmlformats.org/officeDocument/2006/relationships/hyperlink" Target="consultantplus://offline/ref=6CE049F5DC23C8FECAAA43E48537996286A729DAFCB03CA7F1F8D2AE5BE3B3EEADB4B7F535FE9B9B5D0600E4E32EFEF6602A97B9CFDFA406XAT6M" TargetMode="External"/><Relationship Id="rId1297" Type="http://schemas.openxmlformats.org/officeDocument/2006/relationships/hyperlink" Target="consultantplus://offline/ref=6CE049F5DC23C8FECAAA43E48537996284A02AD8F1B03CA7F1F8D2AE5BE3B3EEADB4B7F535FE989E530600E4E32EFEF6602A97B9CFDFA406XAT6M" TargetMode="External"/><Relationship Id="rId222" Type="http://schemas.openxmlformats.org/officeDocument/2006/relationships/hyperlink" Target="consultantplus://offline/ref=6CE049F5DC23C8FECAAA43E48537996287A329DEF5BD3CA7F1F8D2AE5BE3B3EEADB4B7F535FE9B9D5F0600E4E32EFEF6602A97B9CFDFA406XAT6M" TargetMode="External"/><Relationship Id="rId667" Type="http://schemas.openxmlformats.org/officeDocument/2006/relationships/hyperlink" Target="consultantplus://offline/ref=6CE049F5DC23C8FECAAA43E48537996287A22AD1F3B13CA7F1F8D2AE5BE3B3EEADB4B7F535FE9B9A580600E4E32EFEF6602A97B9CFDFA406XAT6M" TargetMode="External"/><Relationship Id="rId874" Type="http://schemas.openxmlformats.org/officeDocument/2006/relationships/hyperlink" Target="consultantplus://offline/ref=6CE049F5DC23C8FECAAA43E48537996286A22EDDF5B33CA7F1F8D2AE5BE3B3EEADB4B7F535FE9B905C0600E4E32EFEF6602A97B9CFDFA406XAT6M" TargetMode="External"/><Relationship Id="rId527" Type="http://schemas.openxmlformats.org/officeDocument/2006/relationships/hyperlink" Target="consultantplus://offline/ref=6CE049F5DC23C8FECAAA43E48537996286A62DD9F1B63CA7F1F8D2AE5BE3B3EEADB4B7F535FE9D9E5D0600E4E32EFEF6602A97B9CFDFA406XAT6M" TargetMode="External"/><Relationship Id="rId734" Type="http://schemas.openxmlformats.org/officeDocument/2006/relationships/hyperlink" Target="consultantplus://offline/ref=6CE049F5DC23C8FECAAA43E48537996287A226DDF5B13CA7F1F8D2AE5BE3B3EEADB4B7F535FE9A9F5E0600E4E32EFEF6602A97B9CFDFA406XAT6M" TargetMode="External"/><Relationship Id="rId941" Type="http://schemas.openxmlformats.org/officeDocument/2006/relationships/image" Target="media/image145.wmf"/><Relationship Id="rId1157" Type="http://schemas.openxmlformats.org/officeDocument/2006/relationships/hyperlink" Target="consultantplus://offline/ref=6CE049F5DC23C8FECAAA43E48537996287A328DCF4B03CA7F1F8D2AE5BE3B3EEADB4B7F535FE9A9A5F0600E4E32EFEF6602A97B9CFDFA406XAT6M" TargetMode="External"/><Relationship Id="rId1364" Type="http://schemas.openxmlformats.org/officeDocument/2006/relationships/hyperlink" Target="consultantplus://offline/ref=6CE049F5DC23C8FECAAA43E48537996286A32EDAF0B63CA7F1F8D2AE5BE3B3EEADB4B7F535FE9A9D580600E4E32EFEF6602A97B9CFDFA406XAT6M" TargetMode="External"/><Relationship Id="rId1571" Type="http://schemas.openxmlformats.org/officeDocument/2006/relationships/image" Target="media/image299.wmf"/><Relationship Id="rId70" Type="http://schemas.openxmlformats.org/officeDocument/2006/relationships/hyperlink" Target="consultantplus://offline/ref=6CE049F5DC23C8FECAAA43E48537996286A728DCF1B43CA7F1F8D2AE5BE3B3EEADB4B7F535FE9B995C0600E4E32EFEF6602A97B9CFDFA406XAT6M" TargetMode="External"/><Relationship Id="rId801" Type="http://schemas.openxmlformats.org/officeDocument/2006/relationships/image" Target="media/image53.wmf"/><Relationship Id="rId1017" Type="http://schemas.openxmlformats.org/officeDocument/2006/relationships/image" Target="media/image192.wmf"/><Relationship Id="rId1224" Type="http://schemas.openxmlformats.org/officeDocument/2006/relationships/hyperlink" Target="consultantplus://offline/ref=6CE049F5DC23C8FECAAA43E48537996287A328DCF4B03CA7F1F8D2AE5BE3B3EEADB4B7F535FE9F9F5D0600E4E32EFEF6602A97B9CFDFA406XAT6M" TargetMode="External"/><Relationship Id="rId1431" Type="http://schemas.openxmlformats.org/officeDocument/2006/relationships/hyperlink" Target="consultantplus://offline/ref=6CE049F5DC23C8FECAAA43E48537996284A02AD8F1B03CA7F1F8D2AE5BE3B3EEADB4B7F737FF90CD0B4901B8A57DEDF46E2A95B1D3XDTDM" TargetMode="External"/><Relationship Id="rId1669" Type="http://schemas.openxmlformats.org/officeDocument/2006/relationships/image" Target="media/image382.wmf"/><Relationship Id="rId1876" Type="http://schemas.openxmlformats.org/officeDocument/2006/relationships/hyperlink" Target="consultantplus://offline/ref=6CE049F5DC23C8FECAAA43E48537996284A028D0F6B43CA7F1F8D2AE5BE3B3EEADB4B7F535FE989C5A0600E4E32EFEF6602A97B9CFDFA406XAT6M" TargetMode="External"/><Relationship Id="rId1529" Type="http://schemas.openxmlformats.org/officeDocument/2006/relationships/image" Target="media/image258.wmf"/><Relationship Id="rId1736" Type="http://schemas.openxmlformats.org/officeDocument/2006/relationships/image" Target="media/image438.wmf"/><Relationship Id="rId28" Type="http://schemas.openxmlformats.org/officeDocument/2006/relationships/hyperlink" Target="consultantplus://offline/ref=6CE049F5DC23C8FECAAA43E48537996287A32FD8FDBD3CA7F1F8D2AE5BE3B3EEADB4B7F535FE9D9A520600E4E32EFEF6602A97B9CFDFA406XAT6M" TargetMode="External"/><Relationship Id="rId1803" Type="http://schemas.openxmlformats.org/officeDocument/2006/relationships/image" Target="media/image499.wmf"/><Relationship Id="rId177" Type="http://schemas.openxmlformats.org/officeDocument/2006/relationships/hyperlink" Target="consultantplus://offline/ref=6CE049F5DC23C8FECAAA43E48537996287A328DCF4B03CA7F1F8D2AE5BE3B3EEADB4B7F535FE9B9F590600E4E32EFEF6602A97B9CFDFA406XAT6M" TargetMode="External"/><Relationship Id="rId384" Type="http://schemas.openxmlformats.org/officeDocument/2006/relationships/hyperlink" Target="consultantplus://offline/ref=6CE049F5DC23C8FECAAA43E48537996287A02FDEF5B13CA7F1F8D2AE5BE3B3EEADB4B7F535FE9A9B5D0600E4E32EFEF6602A97B9CFDFA406XAT6M" TargetMode="External"/><Relationship Id="rId591" Type="http://schemas.openxmlformats.org/officeDocument/2006/relationships/hyperlink" Target="consultantplus://offline/ref=6CE049F5DC23C8FECAAA43E48537996287A226DDF5B13CA7F1F8D2AE5BE3B3EEADB4B7F535FE9A9C580600E4E32EFEF6602A97B9CFDFA406XAT6M" TargetMode="External"/><Relationship Id="rId244" Type="http://schemas.openxmlformats.org/officeDocument/2006/relationships/hyperlink" Target="consultantplus://offline/ref=6CE049F5DC23C8FECAAA43E48537996286A626DBFDB03CA7F1F8D2AE5BE3B3EEADB4B7F535FE9B91530600E4E32EFEF6602A97B9CFDFA406XAT6M" TargetMode="External"/><Relationship Id="rId689" Type="http://schemas.openxmlformats.org/officeDocument/2006/relationships/hyperlink" Target="consultantplus://offline/ref=6CE049F5DC23C8FECAAA43E48537996284A62FDDF4B43CA7F1F8D2AE5BE3B3EEADB4B7F535FE9A905F0600E4E32EFEF6602A97B9CFDFA406XAT6M" TargetMode="External"/><Relationship Id="rId896" Type="http://schemas.openxmlformats.org/officeDocument/2006/relationships/hyperlink" Target="consultantplus://offline/ref=6CE049F5DC23C8FECAAA43E48537996286A22EDDF5B33CA7F1F8D2AE5BE3B3EEADB4B7F535FE9A995E0600E4E32EFEF6602A97B9CFDFA406XAT6M" TargetMode="External"/><Relationship Id="rId1081" Type="http://schemas.openxmlformats.org/officeDocument/2006/relationships/image" Target="media/image228.wmf"/><Relationship Id="rId451" Type="http://schemas.openxmlformats.org/officeDocument/2006/relationships/image" Target="media/image5.wmf"/><Relationship Id="rId549" Type="http://schemas.openxmlformats.org/officeDocument/2006/relationships/hyperlink" Target="consultantplus://offline/ref=6CE049F5DC23C8FECAAA43E48537996287A226DDF5B13CA7F1F8D2AE5BE3B3EEADB4B7F535FE9A9D580600E4E32EFEF6602A97B9CFDFA406XAT6M" TargetMode="External"/><Relationship Id="rId756" Type="http://schemas.openxmlformats.org/officeDocument/2006/relationships/hyperlink" Target="consultantplus://offline/ref=6CE049F5DC23C8FECAAA43E48537996286A628DDF6B33CA7F1F8D2AE5BE3B3EEADB4B7F535FE9B9F5E0600E4E32EFEF6602A97B9CFDFA406XAT6M" TargetMode="External"/><Relationship Id="rId1179" Type="http://schemas.openxmlformats.org/officeDocument/2006/relationships/hyperlink" Target="consultantplus://offline/ref=6CE049F5DC23C8FECAAA43E48537996287A328DCF4B03CA7F1F8D2AE5BE3B3EEADB4B7F535FE9A915D0600E4E32EFEF6602A97B9CFDFA406XAT6M" TargetMode="External"/><Relationship Id="rId1386" Type="http://schemas.openxmlformats.org/officeDocument/2006/relationships/hyperlink" Target="consultantplus://offline/ref=6CE049F5DC23C8FECAAA43E48537996284A02AD8F1B03CA7F1F8D2AE5BE3B3EEADB4B7F733F5CFC81E5859B7A165F3FC783697B3XDT1M" TargetMode="External"/><Relationship Id="rId1593" Type="http://schemas.openxmlformats.org/officeDocument/2006/relationships/hyperlink" Target="consultantplus://offline/ref=6CE049F5DC23C8FECAAA43E48537996286A628D1FCB73CA7F1F8D2AE5BE3B3EEADB4B7F535FE9B9D5D0600E4E32EFEF6602A97B9CFDFA406XAT6M" TargetMode="External"/><Relationship Id="rId104" Type="http://schemas.openxmlformats.org/officeDocument/2006/relationships/hyperlink" Target="consultantplus://offline/ref=6CE049F5DC23C8FECAAA43E48537996287AA2DDEF7B23CA7F1F8D2AE5BE3B3EEADB4B7F535FE9B985E0600E4E32EFEF6602A97B9CFDFA406XAT6M" TargetMode="External"/><Relationship Id="rId311" Type="http://schemas.openxmlformats.org/officeDocument/2006/relationships/hyperlink" Target="consultantplus://offline/ref=6CE049F5DC23C8FECAAA43E48537996284A52BDCFDB13CA7F1F8D2AE5BE3B3EEADB4B7F535FE9A9D5B0600E4E32EFEF6602A97B9CFDFA406XAT6M" TargetMode="External"/><Relationship Id="rId409" Type="http://schemas.openxmlformats.org/officeDocument/2006/relationships/hyperlink" Target="consultantplus://offline/ref=6CE049F5DC23C8FECAAA43E48537996287A226DDF5B13CA7F1F8D2AE5BE3B3EEADB4B7F535FE9A9A580600E4E32EFEF6602A97B9CFDFA406XAT6M" TargetMode="External"/><Relationship Id="rId963" Type="http://schemas.openxmlformats.org/officeDocument/2006/relationships/hyperlink" Target="consultantplus://offline/ref=6CE049F5DC23C8FECAAA43E48537996286A02BD0F4BD3CA7F1F8D2AE5BE3B3EEADB4B7F535FE99985D0600E4E32EFEF6602A97B9CFDFA406XAT6M" TargetMode="External"/><Relationship Id="rId1039" Type="http://schemas.openxmlformats.org/officeDocument/2006/relationships/image" Target="media/image204.wmf"/><Relationship Id="rId1246" Type="http://schemas.openxmlformats.org/officeDocument/2006/relationships/hyperlink" Target="consultantplus://offline/ref=6CE049F5DC23C8FECAAA43E48537996286A32CD8F6B23CA7F1F8D2AE5BE3B3EEADB4B7F535FF999A5C0600E4E32EFEF6602A97B9CFDFA406XAT6M" TargetMode="External"/><Relationship Id="rId92" Type="http://schemas.openxmlformats.org/officeDocument/2006/relationships/hyperlink" Target="consultantplus://offline/ref=6CE049F5DC23C8FECAAA43E48537996287A226DDF5B13CA7F1F8D2AE5BE3B3EEADB4B7F535FE9A9B5C0600E4E32EFEF6602A97B9CFDFA406XAT6M" TargetMode="External"/><Relationship Id="rId616" Type="http://schemas.openxmlformats.org/officeDocument/2006/relationships/hyperlink" Target="consultantplus://offline/ref=6CE049F5DC23C8FECAAA43E48537996287AA2DDEF7B23CA7F1F8D2AE5BE3B3EEADB4B7F535FE9B9D5D0600E4E32EFEF6602A97B9CFDFA406XAT6M" TargetMode="External"/><Relationship Id="rId823" Type="http://schemas.openxmlformats.org/officeDocument/2006/relationships/image" Target="media/image73.wmf"/><Relationship Id="rId1453" Type="http://schemas.openxmlformats.org/officeDocument/2006/relationships/hyperlink" Target="consultantplus://offline/ref=6CE049F5DC23C8FECAAA43E48537996284A026DDF2B63CA7F1F8D2AE5BE3B3EEADB4B7F535FE9A9C590600E4E32EFEF6602A97B9CFDFA406XAT6M" TargetMode="External"/><Relationship Id="rId1660" Type="http://schemas.openxmlformats.org/officeDocument/2006/relationships/hyperlink" Target="consultantplus://offline/ref=6CE049F5DC23C8FECAAA43E48537996286A628D1FCB73CA7F1F8D2AE5BE3B3EEADB4B7F535FE9B9D5D0600E4E32EFEF6602A97B9CFDFA406XAT6M" TargetMode="External"/><Relationship Id="rId1758" Type="http://schemas.openxmlformats.org/officeDocument/2006/relationships/image" Target="media/image458.wmf"/><Relationship Id="rId1106" Type="http://schemas.openxmlformats.org/officeDocument/2006/relationships/hyperlink" Target="consultantplus://offline/ref=6CE049F5DC23C8FECAAA43E48537996284A62FDDF4B43CA7F1F8D2AE5BE3B3EEADB4B7F535FE999C5A0600E4E32EFEF6602A97B9CFDFA406XAT6M" TargetMode="External"/><Relationship Id="rId1313" Type="http://schemas.openxmlformats.org/officeDocument/2006/relationships/hyperlink" Target="consultantplus://offline/ref=6CE049F5DC23C8FECAAA43E48537996284A02AD8F1B03CA7F1F8D2AE5BE3B3EEADB4B7F535FE9F9D5A0600E4E32EFEF6602A97B9CFDFA406XAT6M" TargetMode="External"/><Relationship Id="rId1520" Type="http://schemas.openxmlformats.org/officeDocument/2006/relationships/hyperlink" Target="consultantplus://offline/ref=6CE049F5DC23C8FECAAA4AFD8237996280A32FDCF7B73CA7F1F8D2AE5BE3B3EEBFB4EFF937F88599521356B5A5X7TBM" TargetMode="External"/><Relationship Id="rId1618" Type="http://schemas.openxmlformats.org/officeDocument/2006/relationships/image" Target="media/image339.wmf"/><Relationship Id="rId1825" Type="http://schemas.openxmlformats.org/officeDocument/2006/relationships/image" Target="media/image518.wmf"/><Relationship Id="rId199" Type="http://schemas.openxmlformats.org/officeDocument/2006/relationships/hyperlink" Target="consultantplus://offline/ref=6CE049F5DC23C8FECAAA43E48537996286A628DCF2B63CA7F1F8D2AE5BE3B3EEADB4B7F631F799920E5C10E0AA79F5EA663C89B3D1DFXAT4M" TargetMode="External"/><Relationship Id="rId266" Type="http://schemas.openxmlformats.org/officeDocument/2006/relationships/hyperlink" Target="consultantplus://offline/ref=6CE049F5DC23C8FECAAA43E48537996286A72ED9F7B63CA7F1F8D2AE5BE3B3EEADB4B7F535FE9B9D590600E4E32EFEF6602A97B9CFDFA406XAT6M" TargetMode="External"/><Relationship Id="rId473" Type="http://schemas.openxmlformats.org/officeDocument/2006/relationships/hyperlink" Target="consultantplus://offline/ref=6CE049F5DC23C8FECAAA43E48537996286A62DDCFCB43CA7F1F8D2AE5BE3B3EEADB4B7F535FE9B9D5E0600E4E32EFEF6602A97B9CFDFA406XAT6M" TargetMode="External"/><Relationship Id="rId680" Type="http://schemas.openxmlformats.org/officeDocument/2006/relationships/hyperlink" Target="consultantplus://offline/ref=6CE049F5DC23C8FECAAA43E48537996286A32CDBF7BD3CA7F1F8D2AE5BE3B3EEADB4B7F535FE9A9D5B0600E4E32EFEF6602A97B9CFDFA406XAT6M" TargetMode="External"/><Relationship Id="rId126" Type="http://schemas.openxmlformats.org/officeDocument/2006/relationships/hyperlink" Target="consultantplus://offline/ref=6CE049F5DC23C8FECAAA43E48537996284A52BDCFDB13CA7F1F8D2AE5BE3B3EEADB4B7F535FE9A98590600E4E32EFEF6602A97B9CFDFA406XAT6M" TargetMode="External"/><Relationship Id="rId333" Type="http://schemas.openxmlformats.org/officeDocument/2006/relationships/hyperlink" Target="consultantplus://offline/ref=6CE049F5DC23C8FECAAA43E48537996284A52BDCFDB13CA7F1F8D2AE5BE3B3EEADB4B7F535FE9A9F530600E4E32EFEF6602A97B9CFDFA406XAT6M" TargetMode="External"/><Relationship Id="rId540" Type="http://schemas.openxmlformats.org/officeDocument/2006/relationships/hyperlink" Target="consultantplus://offline/ref=6CE049F5DC23C8FECAAA43E48537996286A729D8F1B43CA7F1F8D2AE5BE3B3EEADB4B7F535FE9B9A5B0600E4E32EFEF6602A97B9CFDFA406XAT6M" TargetMode="External"/><Relationship Id="rId778" Type="http://schemas.openxmlformats.org/officeDocument/2006/relationships/hyperlink" Target="consultantplus://offline/ref=6CE049F5DC23C8FECAAA43E48537996286A02BD0F4BD3CA7F1F8D2AE5BE3B3EEADB4B7F535FE9A9E5C0600E4E32EFEF6602A97B9CFDFA406XAT6M" TargetMode="External"/><Relationship Id="rId985" Type="http://schemas.openxmlformats.org/officeDocument/2006/relationships/image" Target="media/image172.wmf"/><Relationship Id="rId1170" Type="http://schemas.openxmlformats.org/officeDocument/2006/relationships/hyperlink" Target="consultantplus://offline/ref=6CE049F5DC23C8FECAAA43E48537996286A32BDDF7B23CA7F1F8D2AE5BE3B3EEADB4B7F535FE99995E0600E4E32EFEF6602A97B9CFDFA406XAT6M" TargetMode="External"/><Relationship Id="rId638" Type="http://schemas.openxmlformats.org/officeDocument/2006/relationships/hyperlink" Target="consultantplus://offline/ref=6CE049F5DC23C8FECAAA43E48537996287A22AD1F3B13CA7F1F8D2AE5BE3B3EEADB4B7F535FE9B9B5B0600E4E32EFEF6602A97B9CFDFA406XAT6M" TargetMode="External"/><Relationship Id="rId845" Type="http://schemas.openxmlformats.org/officeDocument/2006/relationships/image" Target="media/image94.wmf"/><Relationship Id="rId1030" Type="http://schemas.openxmlformats.org/officeDocument/2006/relationships/image" Target="media/image199.wmf"/><Relationship Id="rId1268" Type="http://schemas.openxmlformats.org/officeDocument/2006/relationships/hyperlink" Target="consultantplus://offline/ref=6CE049F5DC23C8FECAAA43E48537996284A02ADBF0B53CA7F1F8D2AE5BE3B3EEADB4B7F230F5CFC81E5859B7A165F3FC783697B3XDT1M" TargetMode="External"/><Relationship Id="rId1475" Type="http://schemas.openxmlformats.org/officeDocument/2006/relationships/hyperlink" Target="consultantplus://offline/ref=6CE049F5DC23C8FECAAA43E48537996284A026DDF2B13CA7F1F8D2AE5BE3B3EEADB4B7F535FE98915C0600E4E32EFEF6602A97B9CFDFA406XAT6M" TargetMode="External"/><Relationship Id="rId1682" Type="http://schemas.openxmlformats.org/officeDocument/2006/relationships/image" Target="media/image393.wmf"/><Relationship Id="rId400" Type="http://schemas.openxmlformats.org/officeDocument/2006/relationships/hyperlink" Target="consultantplus://offline/ref=6CE049F5DC23C8FECAAA43E48537996284AA2DDDFCB43CA7F1F8D2AE5BE3B3EEADB4B7F535FE9B9D5F0600E4E32EFEF6602A97B9CFDFA406XAT6M" TargetMode="External"/><Relationship Id="rId705" Type="http://schemas.openxmlformats.org/officeDocument/2006/relationships/hyperlink" Target="consultantplus://offline/ref=6CE049F5DC23C8FECAAA43E48537996286A628DCF2B63CA7F1F8D2AE5BE3B3EEADB4B7F631FA9A920E5C10E0AA79F5EA663C89B3D1DFXAT4M" TargetMode="External"/><Relationship Id="rId1128" Type="http://schemas.openxmlformats.org/officeDocument/2006/relationships/hyperlink" Target="consultantplus://offline/ref=6CE049F5DC23C8FECAAA43E48537996284A52BDCFDB13CA7F1F8D2AE5BE3B3EEADB4B7F535FE999A5A0600E4E32EFEF6602A97B9CFDFA406XAT6M" TargetMode="External"/><Relationship Id="rId1335" Type="http://schemas.openxmlformats.org/officeDocument/2006/relationships/hyperlink" Target="consultantplus://offline/ref=6CE049F5DC23C8FECAAA43E48537996284A02AD8F1B03CA7F1F8D2AE5BE3B3EEADB4B7F535FE9E9B5A0600E4E32EFEF6602A97B9CFDFA406XAT6M" TargetMode="External"/><Relationship Id="rId1542" Type="http://schemas.openxmlformats.org/officeDocument/2006/relationships/image" Target="media/image270.wmf"/><Relationship Id="rId912" Type="http://schemas.openxmlformats.org/officeDocument/2006/relationships/hyperlink" Target="consultantplus://offline/ref=6CE049F5DC23C8FECAAA43E48537996286A02BD0F4BD3CA7F1F8D2AE5BE3B3EEADB4B7F535FE9999580600E4E32EFEF6602A97B9CFDFA406XAT6M" TargetMode="External"/><Relationship Id="rId1847" Type="http://schemas.openxmlformats.org/officeDocument/2006/relationships/hyperlink" Target="consultantplus://offline/ref=6CE049F5DC23C8FECAAA43E48537996286A729DAFCB03CA7F1F8D2AE5BE3B3EEADB4B7F535FE9B9B5D0600E4E32EFEF6602A97B9CFDFA406XAT6M" TargetMode="External"/><Relationship Id="rId41" Type="http://schemas.openxmlformats.org/officeDocument/2006/relationships/hyperlink" Target="consultantplus://offline/ref=6CE049F5DC23C8FECAAA43E48537996286A22EDDF5B33CA7F1F8D2AE5BE3B3EEADB4B7F535FE9B915A0600E4E32EFEF6602A97B9CFDFA406XAT6M" TargetMode="External"/><Relationship Id="rId1402" Type="http://schemas.openxmlformats.org/officeDocument/2006/relationships/hyperlink" Target="consultantplus://offline/ref=6CE049F5DC23C8FECAAA43E48537996284A02AD8F1B03CA7F1F8D2AE5BE3B3EEADB4B7F535FE939E5C0600E4E32EFEF6602A97B9CFDFA406XAT6M" TargetMode="External"/><Relationship Id="rId1707" Type="http://schemas.openxmlformats.org/officeDocument/2006/relationships/image" Target="media/image414.wmf"/><Relationship Id="rId190" Type="http://schemas.openxmlformats.org/officeDocument/2006/relationships/hyperlink" Target="consultantplus://offline/ref=6CE049F5DC23C8FECAAA43E48537996286A628DCF2B63CA7F1F8D2AE5BE3B3EEADB4B7F535FE989E530600E4E32EFEF6602A97B9CFDFA406XAT6M" TargetMode="External"/><Relationship Id="rId288" Type="http://schemas.openxmlformats.org/officeDocument/2006/relationships/hyperlink" Target="consultantplus://offline/ref=6CE049F5DC23C8FECAAA43E48537996287A328DCF4B03CA7F1F8D2AE5BE3B3EEADB4B7F535FE9B9F530600E4E32EFEF6602A97B9CFDFA406XAT6M" TargetMode="External"/><Relationship Id="rId495" Type="http://schemas.openxmlformats.org/officeDocument/2006/relationships/hyperlink" Target="consultantplus://offline/ref=6CE049F5DC23C8FECAAA43E48537996287A328DCF4B03CA7F1F8D2AE5BE3B3EEADB4B7F535FE9B915D0600E4E32EFEF6602A97B9CFDFA406XAT6M" TargetMode="External"/><Relationship Id="rId148" Type="http://schemas.openxmlformats.org/officeDocument/2006/relationships/hyperlink" Target="consultantplus://offline/ref=6CE049F5DC23C8FECAAA43E48537996287A22AD1F3B13CA7F1F8D2AE5BE3B3EEADB4B7F535FE9B99530600E4E32EFEF6602A97B9CFDFA406XAT6M" TargetMode="External"/><Relationship Id="rId355" Type="http://schemas.openxmlformats.org/officeDocument/2006/relationships/hyperlink" Target="consultantplus://offline/ref=6CE049F5DC23C8FECAAA43E48537996286A328DEF7BD3CA7F1F8D2AE5BE3B3EEADB4B7F535FE9B915C0600E4E32EFEF6602A97B9CFDFA406XAT6M" TargetMode="External"/><Relationship Id="rId562" Type="http://schemas.openxmlformats.org/officeDocument/2006/relationships/hyperlink" Target="consultantplus://offline/ref=6CE049F5DC23C8FECAAA43E48537996286A727D1F5BD3CA7F1F8D2AE5BE3B3EEBFB4EFF937F88599521356B5A5X7TBM" TargetMode="External"/><Relationship Id="rId1192" Type="http://schemas.openxmlformats.org/officeDocument/2006/relationships/hyperlink" Target="consultantplus://offline/ref=6CE049F5DC23C8FECAAA43E48537996287A328DCF4B03CA7F1F8D2AE5BE3B3EEADB4B7F535FE99915B0600E4E32EFEF6602A97B9CFDFA406XAT6M" TargetMode="External"/><Relationship Id="rId215" Type="http://schemas.openxmlformats.org/officeDocument/2006/relationships/hyperlink" Target="consultantplus://offline/ref=6CE049F5DC23C8FECAAA43E48537996287A329DEF5BD3CA7F1F8D2AE5BE3B3EEADB4B7F535FE9B9D580600E4E32EFEF6602A97B9CFDFA406XAT6M" TargetMode="External"/><Relationship Id="rId422" Type="http://schemas.openxmlformats.org/officeDocument/2006/relationships/hyperlink" Target="consultantplus://offline/ref=6CE049F5DC23C8FECAAA43E48537996287A326D1F7B73CA7F1F8D2AE5BE3B3EEADB4B7F535FE9A9D590600E4E32EFEF6602A97B9CFDFA406XAT6M" TargetMode="External"/><Relationship Id="rId867" Type="http://schemas.openxmlformats.org/officeDocument/2006/relationships/image" Target="media/image107.wmf"/><Relationship Id="rId1052" Type="http://schemas.openxmlformats.org/officeDocument/2006/relationships/hyperlink" Target="consultantplus://offline/ref=6CE049F5DC23C8FECAAA43E48537996286A22EDDF5B33CA7F1F8D2AE5BE3B3EEADB4B7F535FE9A9F5C0600E4E32EFEF6602A97B9CFDFA406XAT6M" TargetMode="External"/><Relationship Id="rId1497" Type="http://schemas.openxmlformats.org/officeDocument/2006/relationships/hyperlink" Target="consultantplus://offline/ref=6CE049F5DC23C8FECAAA43E48537996284A026DDF2B13CA7F1F8D2AE5BE3B3EEADB4B7F535FE9D9A5D0600E4E32EFEF6602A97B9CFDFA406XAT6M" TargetMode="External"/><Relationship Id="rId727" Type="http://schemas.openxmlformats.org/officeDocument/2006/relationships/hyperlink" Target="consultantplus://offline/ref=6CE049F5DC23C8FECAAA43E48537996286A628DDF6B33CA7F1F8D2AE5BE3B3EEADB4B7F535FE9B9D5C0600E4E32EFEF6602A97B9CFDFA406XAT6M" TargetMode="External"/><Relationship Id="rId934" Type="http://schemas.openxmlformats.org/officeDocument/2006/relationships/image" Target="media/image143.wmf"/><Relationship Id="rId1357" Type="http://schemas.openxmlformats.org/officeDocument/2006/relationships/hyperlink" Target="consultantplus://offline/ref=6CE049F5DC23C8FECAAA43E48537996284A02AD8F1B03CA7F1F8D2AE5BE3B3EEADB4B7F535FE93995B0600E4E32EFEF6602A97B9CFDFA406XAT6M" TargetMode="External"/><Relationship Id="rId1564" Type="http://schemas.openxmlformats.org/officeDocument/2006/relationships/image" Target="media/image292.wmf"/><Relationship Id="rId1771" Type="http://schemas.openxmlformats.org/officeDocument/2006/relationships/image" Target="media/image469.wmf"/><Relationship Id="rId63" Type="http://schemas.openxmlformats.org/officeDocument/2006/relationships/hyperlink" Target="consultantplus://offline/ref=6CE049F5DC23C8FECAAA43E48537996286A62DD9F1B63CA7F1F8D2AE5BE3B3EEBFB4EFF937F88599521356B5A5X7TBM" TargetMode="External"/><Relationship Id="rId1217" Type="http://schemas.openxmlformats.org/officeDocument/2006/relationships/hyperlink" Target="consultantplus://offline/ref=6CE049F5DC23C8FECAAA43E48537996287A328DCF4B03CA7F1F8D2AE5BE3B3EEADB4B7F535FE9F9A580600E4E32EFEF6602A97B9CFDFA406XAT6M" TargetMode="External"/><Relationship Id="rId1424" Type="http://schemas.openxmlformats.org/officeDocument/2006/relationships/hyperlink" Target="consultantplus://offline/ref=6CE049F5DC23C8FECAAA43E48537996284A02AD8F1B03CA7F1F8D2AE5BE3B3EEADB4B7F634FC90CD0B4901B8A57DEDF46E2A95B1D3XDTDM" TargetMode="External"/><Relationship Id="rId1631" Type="http://schemas.openxmlformats.org/officeDocument/2006/relationships/image" Target="media/image350.wmf"/><Relationship Id="rId1869" Type="http://schemas.openxmlformats.org/officeDocument/2006/relationships/hyperlink" Target="consultantplus://offline/ref=6CE049F5DC23C8FECAAA43E48537996284A32DDCF3B33CA7F1F8D2AE5BE3B3EEADB4B7F535FE9B9B5D0600E4E32EFEF6602A97B9CFDFA406XAT6M" TargetMode="External"/><Relationship Id="rId1729" Type="http://schemas.openxmlformats.org/officeDocument/2006/relationships/image" Target="media/image432.wmf"/><Relationship Id="rId377" Type="http://schemas.openxmlformats.org/officeDocument/2006/relationships/hyperlink" Target="consultantplus://offline/ref=6CE049F5DC23C8FECAAA43E48537996287A02FDEF5B13CA7F1F8D2AE5BE3B3EEADB4B7F535FE9A98590600E4E32EFEF6602A97B9CFDFA406XAT6M" TargetMode="External"/><Relationship Id="rId584" Type="http://schemas.openxmlformats.org/officeDocument/2006/relationships/hyperlink" Target="consultantplus://offline/ref=6CE049F5DC23C8FECAAA43E48537996287AA2DDEF7B23CA7F1F8D2AE5BE3B3EEADB4B7F535FE9B9B520600E4E32EFEF6602A97B9CFDFA406XAT6M" TargetMode="External"/><Relationship Id="rId5" Type="http://schemas.openxmlformats.org/officeDocument/2006/relationships/hyperlink" Target="consultantplus://offline/ref=6CE049F5DC23C8FECAAA43E48537996284A62FDDF5B53CA7F1F8D2AE5BE3B3EEADB4B7F535FE9B995F0600E4E32EFEF6602A97B9CFDFA406XAT6M" TargetMode="External"/><Relationship Id="rId237" Type="http://schemas.openxmlformats.org/officeDocument/2006/relationships/hyperlink" Target="consultantplus://offline/ref=6CE049F5DC23C8FECAAA43E48537996286A628DCF2B63CA7F1F8D2AE5BE3B3EEADB4B7F535FE9D91580600E4E32EFEF6602A97B9CFDFA406XAT6M" TargetMode="External"/><Relationship Id="rId791" Type="http://schemas.openxmlformats.org/officeDocument/2006/relationships/image" Target="media/image43.wmf"/><Relationship Id="rId889" Type="http://schemas.openxmlformats.org/officeDocument/2006/relationships/image" Target="media/image119.wmf"/><Relationship Id="rId1074" Type="http://schemas.openxmlformats.org/officeDocument/2006/relationships/image" Target="media/image221.wmf"/><Relationship Id="rId444" Type="http://schemas.openxmlformats.org/officeDocument/2006/relationships/hyperlink" Target="consultantplus://offline/ref=6CE049F5DC23C8FECAAA43E48537996286A628DCF2B63CA7F1F8D2AE5BE3B3EEADB4B7F630FB9C920E5C10E0AA79F5EA663C89B3D1DFXAT4M" TargetMode="External"/><Relationship Id="rId651" Type="http://schemas.openxmlformats.org/officeDocument/2006/relationships/hyperlink" Target="consultantplus://offline/ref=6CE049F5DC23C8FECAAA43E48537996286A32CDBF7BD3CA7F1F8D2AE5BE3B3EEADB4B7F535FE9A9A5E0600E4E32EFEF6602A97B9CFDFA406XAT6M" TargetMode="External"/><Relationship Id="rId749" Type="http://schemas.openxmlformats.org/officeDocument/2006/relationships/hyperlink" Target="consultantplus://offline/ref=6CE049F5DC23C8FECAAA43E48537996286A729DAFCB03CA7F1F8D2AE5BE3B3EEADB4B7F535FE9B9B5D0600E4E32EFEF6602A97B9CFDFA406XAT6M" TargetMode="External"/><Relationship Id="rId1281" Type="http://schemas.openxmlformats.org/officeDocument/2006/relationships/hyperlink" Target="consultantplus://offline/ref=6CE049F5DC23C8FECAAA43E48537996284A02ADBF0B53CA7F1F8D2AE5BE3B3EEADB4B7F53DF890CD0B4901B8A57DEDF46E2A95B1D3XDTDM" TargetMode="External"/><Relationship Id="rId1379" Type="http://schemas.openxmlformats.org/officeDocument/2006/relationships/hyperlink" Target="consultantplus://offline/ref=6CE049F5DC23C8FECAAA43E48537996284A02AD8F1B03CA7F1F8D2AE5BE3B3EEADB4B7F734F5CFC81E5859B7A165F3FC783697B3XDT1M" TargetMode="External"/><Relationship Id="rId1586" Type="http://schemas.openxmlformats.org/officeDocument/2006/relationships/image" Target="media/image311.wmf"/><Relationship Id="rId304" Type="http://schemas.openxmlformats.org/officeDocument/2006/relationships/hyperlink" Target="consultantplus://offline/ref=6CE049F5DC23C8FECAAA43E48537996286A72ED9F7B63CA7F1F8D2AE5BE3B3EEADB4B7F535FE9B9C5B0600E4E32EFEF6602A97B9CFDFA406XAT6M" TargetMode="External"/><Relationship Id="rId511" Type="http://schemas.openxmlformats.org/officeDocument/2006/relationships/hyperlink" Target="consultantplus://offline/ref=6CE049F5DC23C8FECAAA43E48537996284A52BDCFDB13CA7F1F8D2AE5BE3B3EEADB4B7F535FE99985B0600E4E32EFEF6602A97B9CFDFA406XAT6M" TargetMode="External"/><Relationship Id="rId609" Type="http://schemas.openxmlformats.org/officeDocument/2006/relationships/hyperlink" Target="consultantplus://offline/ref=6CE049F5DC23C8FECAAA43E48537996286A729DAFCB03CA7F1F8D2AE5BE3B3EEADB4B7F535FE9B9B5D0600E4E32EFEF6602A97B9CFDFA406XAT6M" TargetMode="External"/><Relationship Id="rId956" Type="http://schemas.openxmlformats.org/officeDocument/2006/relationships/hyperlink" Target="consultantplus://offline/ref=6CE049F5DC23C8FECAAA43E48537996286A22EDDF5B33CA7F1F8D2AE5BE3B3EEADB4B7F535FE9A9B5F0600E4E32EFEF6602A97B9CFDFA406XAT6M" TargetMode="External"/><Relationship Id="rId1141" Type="http://schemas.openxmlformats.org/officeDocument/2006/relationships/hyperlink" Target="consultantplus://offline/ref=6CE049F5DC23C8FECAAA43E48537996286A72ED9F7B63CA7F1F8D2AE5BE3B3EEADB4B7F535FE9F9A5D0600E4E32EFEF6602A97B9CFDFA406XAT6M" TargetMode="External"/><Relationship Id="rId1239" Type="http://schemas.openxmlformats.org/officeDocument/2006/relationships/hyperlink" Target="consultantplus://offline/ref=6CE049F5DC23C8FECAAA43E48537996287A328DCF4B03CA7F1F8D2AE5BE3B3EEADB4B7F535FE9F915C0600E4E32EFEF6602A97B9CFDFA406XAT6M" TargetMode="External"/><Relationship Id="rId1793" Type="http://schemas.openxmlformats.org/officeDocument/2006/relationships/image" Target="media/image490.wmf"/><Relationship Id="rId85" Type="http://schemas.openxmlformats.org/officeDocument/2006/relationships/hyperlink" Target="consultantplus://offline/ref=6CE049F5DC23C8FECAAA43E48537996284AA2DDDFCB43CA7F1F8D2AE5BE3B3EEADB4B7F535FE9B9D5F0600E4E32EFEF6602A97B9CFDFA406XAT6M" TargetMode="External"/><Relationship Id="rId816" Type="http://schemas.openxmlformats.org/officeDocument/2006/relationships/hyperlink" Target="consultantplus://offline/ref=6CE049F5DC23C8FECAAA43E48537996286A32CDBF7BD3CA7F1F8D2AE5BE3B3EEADB4B7F535FE9A9D520600E4E32EFEF6602A97B9CFDFA406XAT6M" TargetMode="External"/><Relationship Id="rId1001" Type="http://schemas.openxmlformats.org/officeDocument/2006/relationships/hyperlink" Target="consultantplus://offline/ref=6CE049F5DC23C8FECAAA43E48537996286A22EDDF5B33CA7F1F8D2AE5BE3B3EEADB4B7F535FE9A9D5E0600E4E32EFEF6602A97B9CFDFA406XAT6M" TargetMode="External"/><Relationship Id="rId1446" Type="http://schemas.openxmlformats.org/officeDocument/2006/relationships/hyperlink" Target="consultantplus://offline/ref=6CE049F5DC23C8FECAAA43E48537996284A026DDF2B63CA7F1F8D2AE5BE3B3EEADB4B7F736F5CFC81E5859B7A165F3FC783697B3XDT1M" TargetMode="External"/><Relationship Id="rId1653" Type="http://schemas.openxmlformats.org/officeDocument/2006/relationships/image" Target="media/image369.wmf"/><Relationship Id="rId1860" Type="http://schemas.openxmlformats.org/officeDocument/2006/relationships/hyperlink" Target="consultantplus://offline/ref=6CE049F5DC23C8FECAAA43E48537996284A32DDCF3B43CA7F1F8D2AE5BE3B3EEADB4B7F535FE9F9D5F0600E4E32EFEF6602A97B9CFDFA406XAT6M" TargetMode="External"/><Relationship Id="rId1306" Type="http://schemas.openxmlformats.org/officeDocument/2006/relationships/hyperlink" Target="consultantplus://offline/ref=6CE049F5DC23C8FECAAA43E48537996284A02AD8F1B03CA7F1F8D2AE5BE3B3EEADB4B7F535FE9F9B520600E4E32EFEF6602A97B9CFDFA406XAT6M" TargetMode="External"/><Relationship Id="rId1513" Type="http://schemas.openxmlformats.org/officeDocument/2006/relationships/hyperlink" Target="consultantplus://offline/ref=6CE049F5DC23C8FECAAA43E48537996284A028D0F6B43CA7F1F8D2AE5BE3B3EEADB4B7F535FE9B9B590600E4E32EFEF6602A97B9CFDFA406XAT6M" TargetMode="External"/><Relationship Id="rId1720" Type="http://schemas.openxmlformats.org/officeDocument/2006/relationships/image" Target="media/image427.wmf"/><Relationship Id="rId12" Type="http://schemas.openxmlformats.org/officeDocument/2006/relationships/hyperlink" Target="consultantplus://offline/ref=6CE049F5DC23C8FECAAA43E48537996284A727D0F4B33CA7F1F8D2AE5BE3B3EEADB4B7F535FE9B9C5A0600E4E32EFEF6602A97B9CFDFA406XAT6M" TargetMode="External"/><Relationship Id="rId1818" Type="http://schemas.openxmlformats.org/officeDocument/2006/relationships/image" Target="media/image512.wmf"/><Relationship Id="rId161" Type="http://schemas.openxmlformats.org/officeDocument/2006/relationships/hyperlink" Target="consultantplus://offline/ref=6CE049F5DC23C8FECAAA43E48537996286A32CDBF7BD3CA7F1F8D2AE5BE3B3EEADB4B7F535FE9A995E0600E4E32EFEF6602A97B9CFDFA406XAT6M" TargetMode="External"/><Relationship Id="rId399" Type="http://schemas.openxmlformats.org/officeDocument/2006/relationships/hyperlink" Target="consultantplus://offline/ref=6CE049F5DC23C8FECAAA43E48537996286A02ADBFDB63CA7F1F8D2AE5BE3B3EEADB4B7F535FE9B98580600E4E32EFEF6602A97B9CFDFA406XAT6M" TargetMode="External"/><Relationship Id="rId259" Type="http://schemas.openxmlformats.org/officeDocument/2006/relationships/hyperlink" Target="consultantplus://offline/ref=6CE049F5DC23C8FECAAA43E48537996286A628DCF2B63CA7F1F8D2AE5BE3B3EEADB4B7F535FE989E530600E4E32EFEF6602A97B9CFDFA406XAT6M" TargetMode="External"/><Relationship Id="rId466" Type="http://schemas.openxmlformats.org/officeDocument/2006/relationships/hyperlink" Target="consultantplus://offline/ref=6CE049F5DC23C8FECAAA43E48537996286A628D1FCB73CA7F1F8D2AE5BE3B3EEADB4B7F535FE9B9D5D0600E4E32EFEF6602A97B9CFDFA406XAT6M" TargetMode="External"/><Relationship Id="rId673" Type="http://schemas.openxmlformats.org/officeDocument/2006/relationships/hyperlink" Target="consultantplus://offline/ref=6CE049F5DC23C8FECAAA43E48537996287A02FDEF5B13CA7F1F8D2AE5BE3B3EEADB4B7F535FE9A9D5A0600E4E32EFEF6602A97B9CFDFA406XAT6M" TargetMode="External"/><Relationship Id="rId880" Type="http://schemas.openxmlformats.org/officeDocument/2006/relationships/image" Target="media/image114.wmf"/><Relationship Id="rId1096" Type="http://schemas.openxmlformats.org/officeDocument/2006/relationships/image" Target="media/image241.wmf"/><Relationship Id="rId119" Type="http://schemas.openxmlformats.org/officeDocument/2006/relationships/hyperlink" Target="consultantplus://offline/ref=6CE049F5DC23C8FECAAA43E48537996287A02EDFF2B63CA7F1F8D2AE5BE3B3EEADB4B7F535FE999B590600E4E32EFEF6602A97B9CFDFA406XAT6M" TargetMode="External"/><Relationship Id="rId326" Type="http://schemas.openxmlformats.org/officeDocument/2006/relationships/hyperlink" Target="consultantplus://offline/ref=6CE049F5DC23C8FECAAA43E48537996287AA2ED1F7B63CA7F1F8D2AE5BE3B3EEADB4B7F535FE9B98580600E4E32EFEF6602A97B9CFDFA406XAT6M" TargetMode="External"/><Relationship Id="rId533" Type="http://schemas.openxmlformats.org/officeDocument/2006/relationships/hyperlink" Target="consultantplus://offline/ref=6CE049F5DC23C8FECAAA43E48537996286A628DCF2B63CA7F1F8D2AE5BE3B3EEADB4B7F535FE9C9E5C0600E4E32EFEF6602A97B9CFDFA406XAT6M" TargetMode="External"/><Relationship Id="rId978" Type="http://schemas.openxmlformats.org/officeDocument/2006/relationships/image" Target="media/image168.wmf"/><Relationship Id="rId1163" Type="http://schemas.openxmlformats.org/officeDocument/2006/relationships/hyperlink" Target="consultantplus://offline/ref=6CE049F5DC23C8FECAAA43E48537996286A326DDFDB53CA7F1F8D2AE5BE3B3EEADB4B7F535FE9B995F0600E4E32EFEF6602A97B9CFDFA406XAT6M" TargetMode="External"/><Relationship Id="rId1370" Type="http://schemas.openxmlformats.org/officeDocument/2006/relationships/hyperlink" Target="consultantplus://offline/ref=6CE049F5DC23C8FECAAA43E48537996284A02AD8F1B03CA7F1F8D2AE5BE3B3EEADB4B7F535FE939B5E0600E4E32EFEF6602A97B9CFDFA406XAT6M" TargetMode="External"/><Relationship Id="rId740" Type="http://schemas.openxmlformats.org/officeDocument/2006/relationships/hyperlink" Target="consultantplus://offline/ref=6CE049F5DC23C8FECAAA43E48537996284A62FDDF4B43CA7F1F8D2AE5BE3B3EEADB4B7F535FE999B530600E4E32EFEF6602A97B9CFDFA406XAT6M" TargetMode="External"/><Relationship Id="rId838" Type="http://schemas.openxmlformats.org/officeDocument/2006/relationships/image" Target="media/image88.wmf"/><Relationship Id="rId1023" Type="http://schemas.openxmlformats.org/officeDocument/2006/relationships/image" Target="media/image194.wmf"/><Relationship Id="rId1468" Type="http://schemas.openxmlformats.org/officeDocument/2006/relationships/hyperlink" Target="consultantplus://offline/ref=6CE049F5DC23C8FECAAA43E48537996284A026DDF2B13CA7F1F8D2AE5BE3B3EEBFB4EFF937F88599521356B5A5X7TBM" TargetMode="External"/><Relationship Id="rId1675" Type="http://schemas.openxmlformats.org/officeDocument/2006/relationships/image" Target="media/image387.wmf"/><Relationship Id="rId600" Type="http://schemas.openxmlformats.org/officeDocument/2006/relationships/hyperlink" Target="consultantplus://offline/ref=6CE049F5DC23C8FECAAA43E48537996287AA2DDEF7B23CA7F1F8D2AE5BE3B3EEADB4B7F535FE9B9A5E0600E4E32EFEF6602A97B9CFDFA406XAT6M" TargetMode="External"/><Relationship Id="rId1230" Type="http://schemas.openxmlformats.org/officeDocument/2006/relationships/hyperlink" Target="consultantplus://offline/ref=6CE049F5DC23C8FECAAA43E48537996286A32CD8F6B23CA7F1F8D2AE5BE3B3EEADB4B7F535FF9998520600E4E32EFEF6602A97B9CFDFA406XAT6M" TargetMode="External"/><Relationship Id="rId1328" Type="http://schemas.openxmlformats.org/officeDocument/2006/relationships/hyperlink" Target="consultantplus://offline/ref=6CE049F5DC23C8FECAAA43E48537996284A02AD8F1B03CA7F1F8D2AE5BE3B3EEADB4B7F535FE9F905E0600E4E32EFEF6602A97B9CFDFA406XAT6M" TargetMode="External"/><Relationship Id="rId1535" Type="http://schemas.openxmlformats.org/officeDocument/2006/relationships/image" Target="media/image263.wmf"/><Relationship Id="rId905" Type="http://schemas.openxmlformats.org/officeDocument/2006/relationships/image" Target="media/image127.wmf"/><Relationship Id="rId1742" Type="http://schemas.openxmlformats.org/officeDocument/2006/relationships/image" Target="media/image444.wmf"/><Relationship Id="rId34" Type="http://schemas.openxmlformats.org/officeDocument/2006/relationships/hyperlink" Target="consultantplus://offline/ref=6CE049F5DC23C8FECAAA43E48537996287A02FDEF5B13CA7F1F8D2AE5BE3B3EEADB4B7F535FE9A995F0600E4E32EFEF6602A97B9CFDFA406XAT6M" TargetMode="External"/><Relationship Id="rId1602" Type="http://schemas.openxmlformats.org/officeDocument/2006/relationships/image" Target="media/image324.wmf"/><Relationship Id="rId183" Type="http://schemas.openxmlformats.org/officeDocument/2006/relationships/hyperlink" Target="consultantplus://offline/ref=6CE049F5DC23C8FECAAA43E48537996286A628DCF2B63CA7F1F8D2AE5BE3B3EEADB4B7F631F799920E5C10E0AA79F5EA663C89B3D1DFXAT4M" TargetMode="External"/><Relationship Id="rId390" Type="http://schemas.openxmlformats.org/officeDocument/2006/relationships/hyperlink" Target="consultantplus://offline/ref=6CE049F5DC23C8FECAAA43E48537996287A02FDEF5B13CA7F1F8D2AE5BE3B3EEADB4B7F535FE9A9A5F0600E4E32EFEF6602A97B9CFDFA406XAT6M" TargetMode="External"/><Relationship Id="rId250" Type="http://schemas.openxmlformats.org/officeDocument/2006/relationships/hyperlink" Target="consultantplus://offline/ref=6CE049F5DC23C8FECAAA43E48537996286A626DBFDB03CA7F1F8D2AE5BE3B3EEADB4B7F535FE9B90590600E4E32EFEF6602A97B9CFDFA406XAT6M" TargetMode="External"/><Relationship Id="rId488" Type="http://schemas.openxmlformats.org/officeDocument/2006/relationships/image" Target="media/image24.wmf"/><Relationship Id="rId695" Type="http://schemas.openxmlformats.org/officeDocument/2006/relationships/hyperlink" Target="consultantplus://offline/ref=6CE049F5DC23C8FECAAA43E48537996286A628DDF6B33CA7F1F8D2AE5BE3B3EEADB4B7F535FE9B9B5B0600E4E32EFEF6602A97B9CFDFA406XAT6M" TargetMode="External"/><Relationship Id="rId110" Type="http://schemas.openxmlformats.org/officeDocument/2006/relationships/hyperlink" Target="consultantplus://offline/ref=6CE049F5DC23C8FECAAA43E48537996286A228D1F2B53CA7F1F8D2AE5BE3B3EEADB4B7F535FE9B9A5C0600E4E32EFEF6602A97B9CFDFA406XAT6M" TargetMode="External"/><Relationship Id="rId348" Type="http://schemas.openxmlformats.org/officeDocument/2006/relationships/hyperlink" Target="consultantplus://offline/ref=6CE049F5DC23C8FECAAA43E48537996287A326D1F7B73CA7F1F8D2AE5BE3B3EEADB4B7F535FE9A9A5D0600E4E32EFEF6602A97B9CFDFA406XAT6M" TargetMode="External"/><Relationship Id="rId555" Type="http://schemas.openxmlformats.org/officeDocument/2006/relationships/hyperlink" Target="consultantplus://offline/ref=6CE049F5DC23C8FECAAA43E48537996284A62FDDF4B43CA7F1F8D2AE5BE3B3EEADB4B7F535FE9B9E530600E4E32EFEF6602A97B9CFDFA406XAT6M" TargetMode="External"/><Relationship Id="rId762" Type="http://schemas.openxmlformats.org/officeDocument/2006/relationships/hyperlink" Target="consultantplus://offline/ref=6CE049F5DC23C8FECAAA43E48537996286A628DDF6B33CA7F1F8D2AE5BE3B3EEADB4B7F535FE9B9E5B0600E4E32EFEF6602A97B9CFDFA406XAT6M" TargetMode="External"/><Relationship Id="rId1185" Type="http://schemas.openxmlformats.org/officeDocument/2006/relationships/hyperlink" Target="consultantplus://offline/ref=6CE049F5DC23C8FECAAA43E48537996287A328DCF4B03CA7F1F8D2AE5BE3B3EEADB4B7F535FE999D5C0600E4E32EFEF6602A97B9CFDFA406XAT6M" TargetMode="External"/><Relationship Id="rId1392" Type="http://schemas.openxmlformats.org/officeDocument/2006/relationships/hyperlink" Target="consultantplus://offline/ref=6CE049F5DC23C8FECAAA43E48537996284A02AD8F1B03CA7F1F8D2AE5BE3B3EEADB4B7F535FE939F5D0600E4E32EFEF6602A97B9CFDFA406XAT6M" TargetMode="External"/><Relationship Id="rId208" Type="http://schemas.openxmlformats.org/officeDocument/2006/relationships/hyperlink" Target="consultantplus://offline/ref=6CE049F5DC23C8FECAAA43E48537996286A628DCF2B63CA7F1F8D2AE5BE3B3EEADB4B7F535FE9C9E5C0600E4E32EFEF6602A97B9CFDFA406XAT6M" TargetMode="External"/><Relationship Id="rId415" Type="http://schemas.openxmlformats.org/officeDocument/2006/relationships/hyperlink" Target="consultantplus://offline/ref=6CE049F5DC23C8FECAAA43E48537996287A226DDF5B13CA7F1F8D2AE5BE3B3EEADB4B7F535FE9A9A5C0600E4E32EFEF6602A97B9CFDFA406XAT6M" TargetMode="External"/><Relationship Id="rId622" Type="http://schemas.openxmlformats.org/officeDocument/2006/relationships/hyperlink" Target="consultantplus://offline/ref=6CE049F5DC23C8FECAAA43E48537996286A32CDBF7BD3CA7F1F8D2AE5BE3B3EEADB4B7F535FE9A9B590600E4E32EFEF6602A97B9CFDFA406XAT6M" TargetMode="External"/><Relationship Id="rId1045" Type="http://schemas.openxmlformats.org/officeDocument/2006/relationships/hyperlink" Target="consultantplus://offline/ref=6CE049F5DC23C8FECAAA43E48537996286A22EDDF5B33CA7F1F8D2AE5BE3B3EEADB4B7F535FE9A9F5B0600E4E32EFEF6602A97B9CFDFA406XAT6M" TargetMode="External"/><Relationship Id="rId1252" Type="http://schemas.openxmlformats.org/officeDocument/2006/relationships/hyperlink" Target="consultantplus://offline/ref=6CE049F5DC23C8FECAAA43E48537996286A326DDFDB53CA7F1F8D2AE5BE3B3EEADB4B7F535FE9B995F0600E4E32EFEF6602A97B9CFDFA406XAT6M" TargetMode="External"/><Relationship Id="rId1697" Type="http://schemas.openxmlformats.org/officeDocument/2006/relationships/image" Target="media/image405.wmf"/><Relationship Id="rId927" Type="http://schemas.openxmlformats.org/officeDocument/2006/relationships/image" Target="media/image140.wmf"/><Relationship Id="rId1112" Type="http://schemas.openxmlformats.org/officeDocument/2006/relationships/hyperlink" Target="consultantplus://offline/ref=6CE049F5DC23C8FECAAA43E48537996286A02AD9F1B53CA7F1F8D2AE5BE3B3EEADB4B7F535FE9E9C5F0600E4E32EFEF6602A97B9CFDFA406XAT6M" TargetMode="External"/><Relationship Id="rId1557" Type="http://schemas.openxmlformats.org/officeDocument/2006/relationships/image" Target="media/image285.wmf"/><Relationship Id="rId1764" Type="http://schemas.openxmlformats.org/officeDocument/2006/relationships/image" Target="media/image464.wmf"/><Relationship Id="rId56" Type="http://schemas.openxmlformats.org/officeDocument/2006/relationships/hyperlink" Target="consultantplus://offline/ref=6CE049F5DC23C8FECAAA43E48537996286A72ED9F7B63CA7F1F8D2AE5BE3B3EEADB4B7F535FE9B98590600E4E32EFEF6602A97B9CFDFA406XAT6M" TargetMode="External"/><Relationship Id="rId1417" Type="http://schemas.openxmlformats.org/officeDocument/2006/relationships/hyperlink" Target="consultantplus://offline/ref=6CE049F5DC23C8FECAAA43E48537996284A02AD8F1B03CA7F1F8D2AE5BE3B3EEADB4B7F537F790CD0B4901B8A57DEDF46E2A95B1D3XDTDM" TargetMode="External"/><Relationship Id="rId1624" Type="http://schemas.openxmlformats.org/officeDocument/2006/relationships/image" Target="media/image344.wmf"/><Relationship Id="rId1831" Type="http://schemas.openxmlformats.org/officeDocument/2006/relationships/hyperlink" Target="consultantplus://offline/ref=6CE049F5DC23C8FECAAA43E48537996286A729DAFCB03CA7F1F8D2AE5BE3B3EEADB4B7F535FE9B9B5D0600E4E32EFEF6602A97B9CFDFA406XAT6M" TargetMode="External"/><Relationship Id="rId272" Type="http://schemas.openxmlformats.org/officeDocument/2006/relationships/hyperlink" Target="consultantplus://offline/ref=6CE049F5DC23C8FECAAA43E48537996286A628DCF2B63CA7F1F8D2AE5BE3B3EEADB4B7F535FE989E530600E4E32EFEF6602A97B9CFDFA406XAT6M" TargetMode="External"/><Relationship Id="rId577" Type="http://schemas.openxmlformats.org/officeDocument/2006/relationships/hyperlink" Target="consultantplus://offline/ref=6CE049F5DC23C8FECAAA43E48537996287AA2DDEF7B23CA7F1F8D2AE5BE3B3EEADB4B7F535FE9B9B5C0600E4E32EFEF6602A97B9CFDFA406XAT6M" TargetMode="External"/><Relationship Id="rId132" Type="http://schemas.openxmlformats.org/officeDocument/2006/relationships/hyperlink" Target="consultantplus://offline/ref=6CE049F5DC23C8FECAAA43E48537996286A72ED9F7B63CA7F1F8D2AE5BE3B3EEADB4B7F535FE9B985E0600E4E32EFEF6602A97B9CFDFA406XAT6M" TargetMode="External"/><Relationship Id="rId784" Type="http://schemas.openxmlformats.org/officeDocument/2006/relationships/image" Target="media/image37.wmf"/><Relationship Id="rId991" Type="http://schemas.openxmlformats.org/officeDocument/2006/relationships/hyperlink" Target="consultantplus://offline/ref=6CE049F5DC23C8FECAAA43E48537996286A22EDDF5B33CA7F1F8D2AE5BE3B3EEADB4B7F535FE9A9D5B0600E4E32EFEF6602A97B9CFDFA406XAT6M" TargetMode="External"/><Relationship Id="rId1067" Type="http://schemas.openxmlformats.org/officeDocument/2006/relationships/image" Target="media/image218.wmf"/><Relationship Id="rId437" Type="http://schemas.openxmlformats.org/officeDocument/2006/relationships/hyperlink" Target="consultantplus://offline/ref=6CE049F5DC23C8FECAAA43E48537996286A32CDBF7BD3CA7F1F8D2AE5BE3B3EEADB4B7F535FE9A995D0600E4E32EFEF6602A97B9CFDFA406XAT6M" TargetMode="External"/><Relationship Id="rId644" Type="http://schemas.openxmlformats.org/officeDocument/2006/relationships/hyperlink" Target="consultantplus://offline/ref=6CE049F5DC23C8FECAAA43E48537996284A62FDDF4B43CA7F1F8D2AE5BE3B3EEADB4B7F535FE9A9C5B0600E4E32EFEF6602A97B9CFDFA406XAT6M" TargetMode="External"/><Relationship Id="rId851" Type="http://schemas.openxmlformats.org/officeDocument/2006/relationships/hyperlink" Target="consultantplus://offline/ref=6CE049F5DC23C8FECAAA43E48537996286A22EDDF5B33CA7F1F8D2AE5BE3B3EEADB4B7F535FE9B91520600E4E32EFEF6602A97B9CFDFA406XAT6M" TargetMode="External"/><Relationship Id="rId1274" Type="http://schemas.openxmlformats.org/officeDocument/2006/relationships/hyperlink" Target="consultantplus://offline/ref=6CE049F5DC23C8FECAAA43E48537996284A02ADBF0B53CA7F1F8D2AE5BE3B3EEADB4B7F635FE90CD0B4901B8A57DEDF46E2A95B1D3XDTDM" TargetMode="External"/><Relationship Id="rId1481" Type="http://schemas.openxmlformats.org/officeDocument/2006/relationships/hyperlink" Target="consultantplus://offline/ref=6CE049F5DC23C8FECAAA43E48537996284A026DDF2B13CA7F1F8D2AE5BE3B3EEADB4B7F535FE9F99590600E4E32EFEF6602A97B9CFDFA406XAT6M" TargetMode="External"/><Relationship Id="rId1579" Type="http://schemas.openxmlformats.org/officeDocument/2006/relationships/image" Target="media/image306.wmf"/><Relationship Id="rId504" Type="http://schemas.openxmlformats.org/officeDocument/2006/relationships/hyperlink" Target="consultantplus://offline/ref=6CE049F5DC23C8FECAAA43E48537996284A52BDCFDB13CA7F1F8D2AE5BE3B3EEADB4B7F535FE99995E0600E4E32EFEF6602A97B9CFDFA406XAT6M" TargetMode="External"/><Relationship Id="rId711" Type="http://schemas.openxmlformats.org/officeDocument/2006/relationships/hyperlink" Target="consultantplus://offline/ref=6CE049F5DC23C8FECAAA43E48537996287A226DDF5B13CA7F1F8D2AE5BE3B3EEADB4B7F535FE9A9C5F0600E4E32EFEF6602A97B9CFDFA406XAT6M" TargetMode="External"/><Relationship Id="rId949" Type="http://schemas.openxmlformats.org/officeDocument/2006/relationships/image" Target="media/image150.wmf"/><Relationship Id="rId1134" Type="http://schemas.openxmlformats.org/officeDocument/2006/relationships/image" Target="media/image249.wmf"/><Relationship Id="rId1341" Type="http://schemas.openxmlformats.org/officeDocument/2006/relationships/hyperlink" Target="consultantplus://offline/ref=6CE049F5DC23C8FECAAA43E48537996284A02AD8F1B03CA7F1F8D2AE5BE3B3EEADB4B7F535FE9C9E5C0600E4E32EFEF6602A97B9CFDFA406XAT6M" TargetMode="External"/><Relationship Id="rId1786" Type="http://schemas.openxmlformats.org/officeDocument/2006/relationships/image" Target="media/image483.wmf"/><Relationship Id="rId78" Type="http://schemas.openxmlformats.org/officeDocument/2006/relationships/hyperlink" Target="consultantplus://offline/ref=6CE049F5DC23C8FECAAA43E48537996284A727D0F4B33CA7F1F8D2AE5BE3B3EEADB4B7F535FE9B9C5A0600E4E32EFEF6602A97B9CFDFA406XAT6M" TargetMode="External"/><Relationship Id="rId809" Type="http://schemas.openxmlformats.org/officeDocument/2006/relationships/image" Target="media/image61.wmf"/><Relationship Id="rId1201" Type="http://schemas.openxmlformats.org/officeDocument/2006/relationships/hyperlink" Target="consultantplus://offline/ref=6CE049F5DC23C8FECAAA43E48537996287A328DCF4B03CA7F1F8D2AE5BE3B3EEADB4B7F535FE989D5E0600E4E32EFEF6602A97B9CFDFA406XAT6M" TargetMode="External"/><Relationship Id="rId1439" Type="http://schemas.openxmlformats.org/officeDocument/2006/relationships/hyperlink" Target="consultantplus://offline/ref=6CE049F5DC23C8FECAAA43E48537996284A02AD8F1B03CA7F1F8D2AE5BE3B3EEADB4B7F034FB90CD0B4901B8A57DEDF46E2A95B1D3XDTDM" TargetMode="External"/><Relationship Id="rId1646" Type="http://schemas.openxmlformats.org/officeDocument/2006/relationships/image" Target="media/image362.wmf"/><Relationship Id="rId1853" Type="http://schemas.openxmlformats.org/officeDocument/2006/relationships/image" Target="media/image536.wmf"/><Relationship Id="rId1506" Type="http://schemas.openxmlformats.org/officeDocument/2006/relationships/hyperlink" Target="consultantplus://offline/ref=6CE049F5DC23C8FECAAA43E48537996284A028D0F6B43CA7F1F8D2AE5BE3B3EEADB4B7F535FE9B985E0600E4E32EFEF6602A97B9CFDFA406XAT6M" TargetMode="External"/><Relationship Id="rId1713" Type="http://schemas.openxmlformats.org/officeDocument/2006/relationships/image" Target="media/image420.wmf"/><Relationship Id="rId294" Type="http://schemas.openxmlformats.org/officeDocument/2006/relationships/hyperlink" Target="consultantplus://offline/ref=6CE049F5DC23C8FECAAA43E48537996287A328DCF4B03CA7F1F8D2AE5BE3B3EEADB4B7F535FE9B9E520600E4E32EFEF6602A97B9CFDFA406XAT6M" TargetMode="External"/><Relationship Id="rId154" Type="http://schemas.openxmlformats.org/officeDocument/2006/relationships/hyperlink" Target="consultantplus://offline/ref=6CE049F5DC23C8FECAAA43E48537996287AA2DDEF7B23CA7F1F8D2AE5BE3B3EEADB4B7F535FE9B985C0600E4E32EFEF6602A97B9CFDFA406XAT6M" TargetMode="External"/><Relationship Id="rId361" Type="http://schemas.openxmlformats.org/officeDocument/2006/relationships/hyperlink" Target="consultantplus://offline/ref=6CE049F5DC23C8FECAAA43E48537996286A729DAFCB03CA7F1F8D2AE5BE3B3EEADB4B7F535FE9B9B5D0600E4E32EFEF6602A97B9CFDFA406XAT6M" TargetMode="External"/><Relationship Id="rId599" Type="http://schemas.openxmlformats.org/officeDocument/2006/relationships/hyperlink" Target="consultantplus://offline/ref=6CE049F5DC23C8FECAAA43E48537996286A028DCFCB13CA7F1F8D2AE5BE3B3EEADB4B7F535FE9B9A5B0600E4E32EFEF6602A97B9CFDFA406XAT6M" TargetMode="External"/><Relationship Id="rId459" Type="http://schemas.openxmlformats.org/officeDocument/2006/relationships/image" Target="media/image13.wmf"/><Relationship Id="rId666" Type="http://schemas.openxmlformats.org/officeDocument/2006/relationships/hyperlink" Target="consultantplus://offline/ref=6CE049F5DC23C8FECAAA43E48537996283A326DEF2BE61ADF9A1DEAC5CECECF9AAFDBBF435FE999E515905F1F276F1F278349FAFD3DDA6X0T4M" TargetMode="External"/><Relationship Id="rId873" Type="http://schemas.openxmlformats.org/officeDocument/2006/relationships/image" Target="media/image110.wmf"/><Relationship Id="rId1089" Type="http://schemas.openxmlformats.org/officeDocument/2006/relationships/image" Target="media/image235.wmf"/><Relationship Id="rId1296" Type="http://schemas.openxmlformats.org/officeDocument/2006/relationships/hyperlink" Target="consultantplus://offline/ref=6CE049F5DC23C8FECAAA43E48537996286A628DCF2B63CA7F1F8D2AE5BE3B3EEADB4B7F535FE9C9E5C0600E4E32EFEF6602A97B9CFDFA406XAT6M" TargetMode="External"/><Relationship Id="rId221" Type="http://schemas.openxmlformats.org/officeDocument/2006/relationships/hyperlink" Target="consultantplus://offline/ref=6CE049F5DC23C8FECAAA43E48537996287A329DEF5BD3CA7F1F8D2AE5BE3B3EEADB4B7F535FE9B9D5E0600E4E32EFEF6602A97B9CFDFA406XAT6M" TargetMode="External"/><Relationship Id="rId319" Type="http://schemas.openxmlformats.org/officeDocument/2006/relationships/hyperlink" Target="consultantplus://offline/ref=6CE049F5DC23C8FECAAA43E48537996287AA2ED1F7B63CA7F1F8D2AE5BE3B3EEADB4B7F535FE9B995D0600E4E32EFEF6602A97B9CFDFA406XAT6M" TargetMode="External"/><Relationship Id="rId526" Type="http://schemas.openxmlformats.org/officeDocument/2006/relationships/hyperlink" Target="consultantplus://offline/ref=6CE049F5DC23C8FECAAA43E48537996286A72ADFF7B33CA7F1F8D2AE5BE3B3EEADB4B7F535FE9B98590600E4E32EFEF6602A97B9CFDFA406XAT6M" TargetMode="External"/><Relationship Id="rId1156" Type="http://schemas.openxmlformats.org/officeDocument/2006/relationships/hyperlink" Target="consultantplus://offline/ref=6CE049F5DC23C8FECAAA43E48537996287A32FD8FDBD3CA7F1F8D2AE5BE3B3EEADB4B7F535FE9D9D5B0600E4E32EFEF6602A97B9CFDFA406XAT6M" TargetMode="External"/><Relationship Id="rId1363" Type="http://schemas.openxmlformats.org/officeDocument/2006/relationships/hyperlink" Target="consultantplus://offline/ref=6CE049F5DC23C8FECAAA43E48537996284A02AD8F1B03CA7F1F8D2AE5BE3B3EEADB4B7F535FE93995D0600E4E32EFEF6602A97B9CFDFA406XAT6M" TargetMode="External"/><Relationship Id="rId733" Type="http://schemas.openxmlformats.org/officeDocument/2006/relationships/hyperlink" Target="consultantplus://offline/ref=6CE049F5DC23C8FECAAA43E48537996286A628DDF6B33CA7F1F8D2AE5BE3B3EEADB4B7F535FE9B9C5B0600E4E32EFEF6602A97B9CFDFA406XAT6M" TargetMode="External"/><Relationship Id="rId940" Type="http://schemas.openxmlformats.org/officeDocument/2006/relationships/hyperlink" Target="consultantplus://offline/ref=6CE049F5DC23C8FECAAA43E48537996286A628DCF2B63CA7F1F8D2AE5BE3B3EEADB4B7F535FE989E530600E4E32EFEF6602A97B9CFDFA406XAT6M" TargetMode="External"/><Relationship Id="rId1016" Type="http://schemas.openxmlformats.org/officeDocument/2006/relationships/image" Target="media/image191.wmf"/><Relationship Id="rId1570" Type="http://schemas.openxmlformats.org/officeDocument/2006/relationships/image" Target="media/image298.wmf"/><Relationship Id="rId1668" Type="http://schemas.openxmlformats.org/officeDocument/2006/relationships/hyperlink" Target="consultantplus://offline/ref=6CE049F5DC23C8FECAAA43E48537996286A628D1FCB73CA7F1F8D2AE5BE3B3EEADB4B7F535FE9B9D5D0600E4E32EFEF6602A97B9CFDFA406XAT6M" TargetMode="External"/><Relationship Id="rId1875" Type="http://schemas.openxmlformats.org/officeDocument/2006/relationships/hyperlink" Target="consultantplus://offline/ref=6CE049F5DC23C8FECAAA43E48537996284A02ED8FDBC3CA7F1F8D2AE5BE3B3EEADB4B7F535FE9B9B5C0600E4E32EFEF6602A97B9CFDFA406XAT6M" TargetMode="External"/><Relationship Id="rId800" Type="http://schemas.openxmlformats.org/officeDocument/2006/relationships/image" Target="media/image52.wmf"/><Relationship Id="rId1223" Type="http://schemas.openxmlformats.org/officeDocument/2006/relationships/hyperlink" Target="consultantplus://offline/ref=6CE049F5DC23C8FECAAA43E48537996287A328DCF4B03CA7F1F8D2AE5BE3B3EEADB4B7F535FE9F9F580600E4E32EFEF6602A97B9CFDFA406XAT6M" TargetMode="External"/><Relationship Id="rId1430" Type="http://schemas.openxmlformats.org/officeDocument/2006/relationships/hyperlink" Target="consultantplus://offline/ref=6CE049F5DC23C8FECAAA43E48537996284A02AD8F1B03CA7F1F8D2AE5BE3B3EEADB4B7F632F890CD0B4901B8A57DEDF46E2A95B1D3XDTDM" TargetMode="External"/><Relationship Id="rId1528" Type="http://schemas.openxmlformats.org/officeDocument/2006/relationships/image" Target="media/image257.wmf"/><Relationship Id="rId1735" Type="http://schemas.openxmlformats.org/officeDocument/2006/relationships/image" Target="media/image437.wmf"/><Relationship Id="rId27" Type="http://schemas.openxmlformats.org/officeDocument/2006/relationships/hyperlink" Target="consultantplus://offline/ref=6CE049F5DC23C8FECAAA43E48537996287A226DDF5B13CA7F1F8D2AE5BE3B3EEADB4B7F535FE9A9B5C0600E4E32EFEF6602A97B9CFDFA406XAT6M" TargetMode="External"/><Relationship Id="rId1802" Type="http://schemas.openxmlformats.org/officeDocument/2006/relationships/image" Target="media/image498.wmf"/><Relationship Id="rId176" Type="http://schemas.openxmlformats.org/officeDocument/2006/relationships/hyperlink" Target="consultantplus://offline/ref=6CE049F5DC23C8FECAAA43E48537996287A328DCF4B03CA7F1F8D2AE5BE3B3EEADB4B7F535FE9B9F5A0600E4E32EFEF6602A97B9CFDFA406XAT6M" TargetMode="External"/><Relationship Id="rId383" Type="http://schemas.openxmlformats.org/officeDocument/2006/relationships/hyperlink" Target="consultantplus://offline/ref=6CE049F5DC23C8FECAAA43E48537996287A02FDEF5B13CA7F1F8D2AE5BE3B3EEADB4B7F535FE9A9B5C0600E4E32EFEF6602A97B9CFDFA406XAT6M" TargetMode="External"/><Relationship Id="rId590" Type="http://schemas.openxmlformats.org/officeDocument/2006/relationships/hyperlink" Target="consultantplus://offline/ref=6CE049F5DC23C8FECAAA43E48537996287A226DDF5B13CA7F1F8D2AE5BE3B3EEADB4B7F535FE9A9C5B0600E4E32EFEF6602A97B9CFDFA406XAT6M" TargetMode="External"/><Relationship Id="rId243" Type="http://schemas.openxmlformats.org/officeDocument/2006/relationships/hyperlink" Target="consultantplus://offline/ref=6CE049F5DC23C8FECAAA43E48537996286A628DCF2B63CA7F1F8D2AE5BE3B3EEADB4B7F535FE9D91580600E4E32EFEF6602A97B9CFDFA406XAT6M" TargetMode="External"/><Relationship Id="rId450" Type="http://schemas.openxmlformats.org/officeDocument/2006/relationships/image" Target="media/image4.wmf"/><Relationship Id="rId688" Type="http://schemas.openxmlformats.org/officeDocument/2006/relationships/hyperlink" Target="consultantplus://offline/ref=6CE049F5DC23C8FECAAA43E48537996284A62FDDF4B43CA7F1F8D2AE5BE3B3EEADB4B7F535FE9A905A0600E4E32EFEF6602A97B9CFDFA406XAT6M" TargetMode="External"/><Relationship Id="rId895" Type="http://schemas.openxmlformats.org/officeDocument/2006/relationships/image" Target="media/image122.wmf"/><Relationship Id="rId1080" Type="http://schemas.openxmlformats.org/officeDocument/2006/relationships/image" Target="media/image227.wmf"/><Relationship Id="rId103" Type="http://schemas.openxmlformats.org/officeDocument/2006/relationships/hyperlink" Target="consultantplus://offline/ref=6CE049F5DC23C8FECAAA43E48537996287AA2DDCFCB63CA7F1F8D2AE5BE3B3EEADB4B7F535FE9B9B580600E4E32EFEF6602A97B9CFDFA406XAT6M" TargetMode="External"/><Relationship Id="rId310" Type="http://schemas.openxmlformats.org/officeDocument/2006/relationships/hyperlink" Target="consultantplus://offline/ref=6CE049F5DC23C8FECAAA43E48537996284A52BDCFDB13CA7F1F8D2AE5BE3B3EEADB4B7F535FE9A9D5A0600E4E32EFEF6602A97B9CFDFA406XAT6M" TargetMode="External"/><Relationship Id="rId548" Type="http://schemas.openxmlformats.org/officeDocument/2006/relationships/hyperlink" Target="consultantplus://offline/ref=6CE049F5DC23C8FECAAA43E48537996287A226DDF5B13CA7F1F8D2AE5BE3B3EEADB4B7F535FE9A9D5B0600E4E32EFEF6602A97B9CFDFA406XAT6M" TargetMode="External"/><Relationship Id="rId755" Type="http://schemas.openxmlformats.org/officeDocument/2006/relationships/hyperlink" Target="consultantplus://offline/ref=6CE049F5DC23C8FECAAA43E48537996286A628DDF6B33CA7F1F8D2AE5BE3B3EEADB4B7F535FE9B9F590600E4E32EFEF6602A97B9CFDFA406XAT6M" TargetMode="External"/><Relationship Id="rId962" Type="http://schemas.openxmlformats.org/officeDocument/2006/relationships/hyperlink" Target="consultantplus://offline/ref=6CE049F5DC23C8FECAAA43E48537996287A02FDDF4B63CA7F1F8D2AE5BE3B3EEBFB4EFF937F88599521356B5A5X7TBM" TargetMode="External"/><Relationship Id="rId1178" Type="http://schemas.openxmlformats.org/officeDocument/2006/relationships/hyperlink" Target="consultantplus://offline/ref=6CE049F5DC23C8FECAAA43E48537996287A328DCF4B03CA7F1F8D2AE5BE3B3EEADB4B7F535FE9A9E520600E4E32EFEF6602A97B9CFDFA406XAT6M" TargetMode="External"/><Relationship Id="rId1385" Type="http://schemas.openxmlformats.org/officeDocument/2006/relationships/hyperlink" Target="consultantplus://offline/ref=6CE049F5DC23C8FECAAA43E48537996284A02AD8F1B03CA7F1F8D2AE5BE3B3EEADB4B7F535FE939C520600E4E32EFEF6602A97B9CFDFA406XAT6M" TargetMode="External"/><Relationship Id="rId1592" Type="http://schemas.openxmlformats.org/officeDocument/2006/relationships/image" Target="media/image317.wmf"/><Relationship Id="rId91" Type="http://schemas.openxmlformats.org/officeDocument/2006/relationships/hyperlink" Target="consultantplus://offline/ref=6CE049F5DC23C8FECAAA43E48537996287A227DCF1BD3CA7F1F8D2AE5BE3B3EEADB4B7F535FE9B985F0600E4E32EFEF6602A97B9CFDFA406XAT6M" TargetMode="External"/><Relationship Id="rId408" Type="http://schemas.openxmlformats.org/officeDocument/2006/relationships/hyperlink" Target="consultantplus://offline/ref=6CE049F5DC23C8FECAAA43E48537996286A328DEF7BD3CA7F1F8D2AE5BE3B3EEADB4B7F535FE9B905A0600E4E32EFEF6602A97B9CFDFA406XAT6M" TargetMode="External"/><Relationship Id="rId615" Type="http://schemas.openxmlformats.org/officeDocument/2006/relationships/hyperlink" Target="consultantplus://offline/ref=6CE049F5DC23C8FECAAA43E48537996287AA2DDEF7B23CA7F1F8D2AE5BE3B3EEADB4B7F535FE9B9D5C0600E4E32EFEF6602A97B9CFDFA406XAT6M" TargetMode="External"/><Relationship Id="rId822" Type="http://schemas.openxmlformats.org/officeDocument/2006/relationships/image" Target="media/image72.wmf"/><Relationship Id="rId1038" Type="http://schemas.openxmlformats.org/officeDocument/2006/relationships/image" Target="media/image203.wmf"/><Relationship Id="rId1245" Type="http://schemas.openxmlformats.org/officeDocument/2006/relationships/hyperlink" Target="consultantplus://offline/ref=6CE049F5DC23C8FECAAA43E48537996284A62FDDF4B43CA7F1F8D2AE5BE3B3EEADB4B7F535FE999C530600E4E32EFEF6602A97B9CFDFA406XAT6M" TargetMode="External"/><Relationship Id="rId1452" Type="http://schemas.openxmlformats.org/officeDocument/2006/relationships/hyperlink" Target="consultantplus://offline/ref=6CE049F5DC23C8FECAAA43E48537996284A026DDF2B63CA7F1F8D2AE5BE3B3EEADB4B7F535FE9A9C5E0600E4E32EFEF6602A97B9CFDFA406XAT6M" TargetMode="External"/><Relationship Id="rId1105" Type="http://schemas.openxmlformats.org/officeDocument/2006/relationships/hyperlink" Target="consultantplus://offline/ref=6CE049F5DC23C8FECAAA43E48537996286A728D8F6B13CA7F1F8D2AE5BE3B3EEADB4B7F53DFE9F920E5C10E0AA79F5EA663C89B3D1DFXAT4M" TargetMode="External"/><Relationship Id="rId1312" Type="http://schemas.openxmlformats.org/officeDocument/2006/relationships/hyperlink" Target="consultantplus://offline/ref=6CE049F5DC23C8FECAAA43E48537996284A02AD8F1B03CA7F1F8D2AE5BE3B3EEADB4B7F535FE9F9A530600E4E32EFEF6602A97B9CFDFA406XAT6M" TargetMode="External"/><Relationship Id="rId1757" Type="http://schemas.openxmlformats.org/officeDocument/2006/relationships/image" Target="media/image457.wmf"/><Relationship Id="rId49" Type="http://schemas.openxmlformats.org/officeDocument/2006/relationships/hyperlink" Target="consultantplus://offline/ref=6CE049F5DC23C8FECAAA43E48537996286A328DFFCB03CA7F1F8D2AE5BE3B3EEADB4B7F535FF9B9E5E0600E4E32EFEF6602A97B9CFDFA406XAT6M" TargetMode="External"/><Relationship Id="rId1617" Type="http://schemas.openxmlformats.org/officeDocument/2006/relationships/hyperlink" Target="consultantplus://offline/ref=6CE049F5DC23C8FECAAA43E48537996286A628D1FCB73CA7F1F8D2AE5BE3B3EEADB4B7F535FE9B9D5D0600E4E32EFEF6602A97B9CFDFA406XAT6M" TargetMode="External"/><Relationship Id="rId1824" Type="http://schemas.openxmlformats.org/officeDocument/2006/relationships/image" Target="media/image517.wmf"/><Relationship Id="rId198" Type="http://schemas.openxmlformats.org/officeDocument/2006/relationships/hyperlink" Target="consultantplus://offline/ref=6CE049F5DC23C8FECAAA43E48537996286A628DCF2B63CA7F1F8D2AE5BE3B3EEADB4B7F535FF9B915A0600E4E32EFEF6602A97B9CFDFA406XAT6M" TargetMode="External"/><Relationship Id="rId265" Type="http://schemas.openxmlformats.org/officeDocument/2006/relationships/hyperlink" Target="consultantplus://offline/ref=6CE049F5DC23C8FECAAA43E48537996286A72ED9F7B63CA7F1F8D2AE5BE3B3EEADB4B7F535FE9B9D5B0600E4E32EFEF6602A97B9CFDFA406XAT6M" TargetMode="External"/><Relationship Id="rId472" Type="http://schemas.openxmlformats.org/officeDocument/2006/relationships/hyperlink" Target="consultantplus://offline/ref=6CE049F5DC23C8FECAAA43E48537996286A628DCF2B63CA7F1F8D2AE5BE3B3EEADB4B7F630FB9C920E5C10E0AA79F5EA663C89B3D1DFXAT4M" TargetMode="External"/><Relationship Id="rId125" Type="http://schemas.openxmlformats.org/officeDocument/2006/relationships/hyperlink" Target="consultantplus://offline/ref=6CE049F5DC23C8FECAAA43E48537996284A52BDCFDB13CA7F1F8D2AE5BE3B3EEADB4B7F535FE9A98580600E4E32EFEF6602A97B9CFDFA406XAT6M" TargetMode="External"/><Relationship Id="rId332" Type="http://schemas.openxmlformats.org/officeDocument/2006/relationships/hyperlink" Target="consultantplus://offline/ref=6CE049F5DC23C8FECAAA43E48537996284A52BDFF1BC3CA7F1F8D2AE5BE3B3EEADB4B7F535FE9B985B0600E4E32EFEF6602A97B9CFDFA406XAT6M" TargetMode="External"/><Relationship Id="rId777" Type="http://schemas.openxmlformats.org/officeDocument/2006/relationships/image" Target="media/image34.wmf"/><Relationship Id="rId984" Type="http://schemas.openxmlformats.org/officeDocument/2006/relationships/hyperlink" Target="consultantplus://offline/ref=6CE049F5DC23C8FECAAA43E48537996286A22EDDF5B33CA7F1F8D2AE5BE3B3EEADB4B7F535FE9A9A520600E4E32EFEF6602A97B9CFDFA406XAT6M" TargetMode="External"/><Relationship Id="rId637" Type="http://schemas.openxmlformats.org/officeDocument/2006/relationships/hyperlink" Target="consultantplus://offline/ref=6CE049F5DC23C8FECAAA43E48537996286A32CDBF7BD3CA7F1F8D2AE5BE3B3EEADB4B7F535FE9A9B520600E4E32EFEF6602A97B9CFDFA406XAT6M" TargetMode="External"/><Relationship Id="rId844" Type="http://schemas.openxmlformats.org/officeDocument/2006/relationships/image" Target="media/image93.wmf"/><Relationship Id="rId1267" Type="http://schemas.openxmlformats.org/officeDocument/2006/relationships/hyperlink" Target="consultantplus://offline/ref=6CE049F5DC23C8FECAAA43E48537996286A628DCF2B63CA7F1F8D2AE5BE3B3EEADB4B7F535FE989E530600E4E32EFEF6602A97B9CFDFA406XAT6M" TargetMode="External"/><Relationship Id="rId1474" Type="http://schemas.openxmlformats.org/officeDocument/2006/relationships/hyperlink" Target="consultantplus://offline/ref=6CE049F5DC23C8FECAAA43E48537996286A628DAF2BD3CA7F1F8D2AE5BE3B3EEADB4B7F535FE9B99520600E4E32EFEF6602A97B9CFDFA406XAT6M" TargetMode="External"/><Relationship Id="rId1681" Type="http://schemas.openxmlformats.org/officeDocument/2006/relationships/hyperlink" Target="consultantplus://offline/ref=6CE049F5DC23C8FECAAA43E48537996286A628D1FCB73CA7F1F8D2AE5BE3B3EEADB4B7F535FE9B9D5D0600E4E32EFEF6602A97B9CFDFA406XAT6M" TargetMode="External"/><Relationship Id="rId704" Type="http://schemas.openxmlformats.org/officeDocument/2006/relationships/hyperlink" Target="consultantplus://offline/ref=6CE049F5DC23C8FECAAA43E48537996286A628DCF2B63CA7F1F8D2AE5BE3B3EEADB4B7F631FA9A920E5C10E0AA79F5EA663C89B3D1DFXAT4M" TargetMode="External"/><Relationship Id="rId911" Type="http://schemas.openxmlformats.org/officeDocument/2006/relationships/hyperlink" Target="consultantplus://offline/ref=6CE049F5DC23C8FECAAA43E48537996286A22EDDF5B33CA7F1F8D2AE5BE3B3EEADB4B7F535FE9A99520600E4E32EFEF6602A97B9CFDFA406XAT6M" TargetMode="External"/><Relationship Id="rId1127" Type="http://schemas.openxmlformats.org/officeDocument/2006/relationships/image" Target="media/image246.wmf"/><Relationship Id="rId1334" Type="http://schemas.openxmlformats.org/officeDocument/2006/relationships/hyperlink" Target="consultantplus://offline/ref=6CE049F5DC23C8FECAAA43E48537996284A02AD8F1B03CA7F1F8D2AE5BE3B3EEADB4B7F535FE9E9B5A0600E4E32EFEF6602A97B9CFDFA406XAT6M" TargetMode="External"/><Relationship Id="rId1541" Type="http://schemas.openxmlformats.org/officeDocument/2006/relationships/image" Target="media/image269.wmf"/><Relationship Id="rId1779" Type="http://schemas.openxmlformats.org/officeDocument/2006/relationships/image" Target="media/image476.wmf"/><Relationship Id="rId40" Type="http://schemas.openxmlformats.org/officeDocument/2006/relationships/hyperlink" Target="consultantplus://offline/ref=6CE049F5DC23C8FECAAA43E48537996287AA29D1F3B63CA7F1F8D2AE5BE3B3EEADB4B7F535FE9B9F590600E4E32EFEF6602A97B9CFDFA406XAT6M" TargetMode="External"/><Relationship Id="rId1401" Type="http://schemas.openxmlformats.org/officeDocument/2006/relationships/hyperlink" Target="consultantplus://offline/ref=6CE049F5DC23C8FECAAA43E48537996284A02AD8F1B03CA7F1F8D2AE5BE3B3EEADB4B7F535FE939E5F0600E4E32EFEF6602A97B9CFDFA406XAT6M" TargetMode="External"/><Relationship Id="rId1639" Type="http://schemas.openxmlformats.org/officeDocument/2006/relationships/hyperlink" Target="consultantplus://offline/ref=6CE049F5DC23C8FECAAA43E48537996286A628D1FCB73CA7F1F8D2AE5BE3B3EEADB4B7F535FE9B9D5D0600E4E32EFEF6602A97B9CFDFA406XAT6M" TargetMode="External"/><Relationship Id="rId1846" Type="http://schemas.openxmlformats.org/officeDocument/2006/relationships/image" Target="media/image531.wmf"/><Relationship Id="rId1706" Type="http://schemas.openxmlformats.org/officeDocument/2006/relationships/image" Target="media/image413.wmf"/><Relationship Id="rId287" Type="http://schemas.openxmlformats.org/officeDocument/2006/relationships/hyperlink" Target="consultantplus://offline/ref=6CE049F5DC23C8FECAAA43E48537996287A229D9FDB23CA7F1F8D2AE5BE3B3EEADB4B7F535FE9B9D520600E4E32EFEF6602A97B9CFDFA406XAT6M" TargetMode="External"/><Relationship Id="rId494" Type="http://schemas.openxmlformats.org/officeDocument/2006/relationships/hyperlink" Target="consultantplus://offline/ref=6CE049F5DC23C8FECAAA43E48537996286A628DCF2B63CA7F1F8D2AE5BE3B3EEADB4B7F535FE989E530600E4E32EFEF6602A97B9CFDFA406XAT6M" TargetMode="External"/><Relationship Id="rId147" Type="http://schemas.openxmlformats.org/officeDocument/2006/relationships/hyperlink" Target="consultantplus://offline/ref=6CE049F5DC23C8FECAAA43E48537996284A52BDCFDB13CA7F1F8D2AE5BE3B3EEADB4B7F535FE9A9B580600E4E32EFEF6602A97B9CFDFA406XAT6M" TargetMode="External"/><Relationship Id="rId354" Type="http://schemas.openxmlformats.org/officeDocument/2006/relationships/hyperlink" Target="consultantplus://offline/ref=6CE049F5DC23C8FECAAA43E48537996286A628D1FCB73CA7F1F8D2AE5BE3B3EEADB4B7F535FE9B9D5D0600E4E32EFEF6602A97B9CFDFA406XAT6M" TargetMode="External"/><Relationship Id="rId799" Type="http://schemas.openxmlformats.org/officeDocument/2006/relationships/image" Target="media/image51.wmf"/><Relationship Id="rId1191" Type="http://schemas.openxmlformats.org/officeDocument/2006/relationships/hyperlink" Target="consultantplus://offline/ref=6CE049F5DC23C8FECAAA43E48537996287A328DCF4B03CA7F1F8D2AE5BE3B3EEADB4B7F535FE999E530600E4E32EFEF6602A97B9CFDFA406XAT6M" TargetMode="External"/><Relationship Id="rId561" Type="http://schemas.openxmlformats.org/officeDocument/2006/relationships/hyperlink" Target="consultantplus://offline/ref=6CE049F5DC23C8FECAAA43E48537996286A729DAFCB03CA7F1F8D2AE5BE3B3EEADB4B7F535FE9B9B5D0600E4E32EFEF6602A97B9CFDFA406XAT6M" TargetMode="External"/><Relationship Id="rId659" Type="http://schemas.openxmlformats.org/officeDocument/2006/relationships/hyperlink" Target="consultantplus://offline/ref=6CE049F5DC23C8FECAAA43E48537996287A22AD1F3B13CA7F1F8D2AE5BE3B3EEADB4B7F535FE9B9B530600E4E32EFEF6602A97B9CFDFA406XAT6M" TargetMode="External"/><Relationship Id="rId866" Type="http://schemas.openxmlformats.org/officeDocument/2006/relationships/image" Target="media/image106.wmf"/><Relationship Id="rId1289" Type="http://schemas.openxmlformats.org/officeDocument/2006/relationships/hyperlink" Target="consultantplus://offline/ref=6CE049F5DC23C8FECAAA43E48537996284A02AD8F1B03CA7F1F8D2AE5BE3B3EEADB4B7F535FE98905C0600E4E32EFEF6602A97B9CFDFA406XAT6M" TargetMode="External"/><Relationship Id="rId1496" Type="http://schemas.openxmlformats.org/officeDocument/2006/relationships/hyperlink" Target="consultantplus://offline/ref=6CE049F5DC23C8FECAAA43E48537996284A026DDF2B13CA7F1F8D2AE5BE3B3EEADB4B7F535FE9D9B5F0600E4E32EFEF6602A97B9CFDFA406XAT6M" TargetMode="External"/><Relationship Id="rId214" Type="http://schemas.openxmlformats.org/officeDocument/2006/relationships/hyperlink" Target="consultantplus://offline/ref=6CE049F5DC23C8FECAAA43E48537996284A727D0F4B33CA7F1F8D2AE5BE3B3EEADB4B7F535FE9B9F5F0600E4E32EFEF6602A97B9CFDFA406XAT6M" TargetMode="External"/><Relationship Id="rId421" Type="http://schemas.openxmlformats.org/officeDocument/2006/relationships/hyperlink" Target="consultantplus://offline/ref=6CE049F5DC23C8FECAAA43E48537996287AA29D1F3B63CA7F1F8D2AE5BE3B3EEADB4B7F535FE9B9F5E0600E4E32EFEF6602A97B9CFDFA406XAT6M" TargetMode="External"/><Relationship Id="rId519" Type="http://schemas.openxmlformats.org/officeDocument/2006/relationships/hyperlink" Target="consultantplus://offline/ref=6CE049F5DC23C8FECAAA43E48537996286A32CD8F4BD3CA7F1F8D2AE5BE3B3EEADB4B7F23EAACADD0F0056B3B97BFBEA643495XBT1M" TargetMode="External"/><Relationship Id="rId1051" Type="http://schemas.openxmlformats.org/officeDocument/2006/relationships/image" Target="media/image211.wmf"/><Relationship Id="rId1149" Type="http://schemas.openxmlformats.org/officeDocument/2006/relationships/hyperlink" Target="consultantplus://offline/ref=6CE049F5DC23C8FECAAA43E48537996287A02FDEF5B13CA7F1F8D2AE5BE3B3EEADB4B7F535FE9A9F5D0600E4E32EFEF6602A97B9CFDFA406XAT6M" TargetMode="External"/><Relationship Id="rId1356" Type="http://schemas.openxmlformats.org/officeDocument/2006/relationships/hyperlink" Target="consultantplus://offline/ref=6CE049F5DC23C8FECAAA43E48537996284A02AD8F1B03CA7F1F8D2AE5BE3B3EEADB4B7F535FE9C90520600E4E32EFEF6602A97B9CFDFA406XAT6M" TargetMode="External"/><Relationship Id="rId726" Type="http://schemas.openxmlformats.org/officeDocument/2006/relationships/hyperlink" Target="consultantplus://offline/ref=6CE049F5DC23C8FECAAA43E48537996287A226DDF5B13CA7F1F8D2AE5BE3B3EEADB4B7F535FE9A9F580600E4E32EFEF6602A97B9CFDFA406XAT6M" TargetMode="External"/><Relationship Id="rId933" Type="http://schemas.openxmlformats.org/officeDocument/2006/relationships/hyperlink" Target="consultantplus://offline/ref=6CE049F5DC23C8FECAAA43E48537996286A22EDDF5B33CA7F1F8D2AE5BE3B3EEADB4B7F535FE9A985C0600E4E32EFEF6602A97B9CFDFA406XAT6M" TargetMode="External"/><Relationship Id="rId1009" Type="http://schemas.openxmlformats.org/officeDocument/2006/relationships/image" Target="media/image185.wmf"/><Relationship Id="rId1563" Type="http://schemas.openxmlformats.org/officeDocument/2006/relationships/image" Target="media/image291.wmf"/><Relationship Id="rId1770" Type="http://schemas.openxmlformats.org/officeDocument/2006/relationships/image" Target="media/image468.wmf"/><Relationship Id="rId1868" Type="http://schemas.openxmlformats.org/officeDocument/2006/relationships/hyperlink" Target="consultantplus://offline/ref=6CE049F5DC23C8FECAAA43E48537996284A32DDCF3B13CA7F1F8D2AE5BE3B3EEADB4B7F535FE9B905B0600E4E32EFEF6602A97B9CFDFA406XAT6M" TargetMode="External"/><Relationship Id="rId62" Type="http://schemas.openxmlformats.org/officeDocument/2006/relationships/hyperlink" Target="consultantplus://offline/ref=6CE049F5DC23C8FECAAA43E48537996286A729DAFCB03CA7F1F8D2AE5BE3B3EEADB4B7F630FF90CD0B4901B8A57DEDF46E2A95B1D3XDTDM" TargetMode="External"/><Relationship Id="rId1216" Type="http://schemas.openxmlformats.org/officeDocument/2006/relationships/hyperlink" Target="consultantplus://offline/ref=6CE049F5DC23C8FECAAA43E48537996287A328DCF4B03CA7F1F8D2AE5BE3B3EEADB4B7F535FE9F9B5D0600E4E32EFEF6602A97B9CFDFA406XAT6M" TargetMode="External"/><Relationship Id="rId1423" Type="http://schemas.openxmlformats.org/officeDocument/2006/relationships/hyperlink" Target="consultantplus://offline/ref=6CE049F5DC23C8FECAAA43E48537996284A02AD8F1B03CA7F1F8D2AE5BE3B3EEADB4B7F635F790CD0B4901B8A57DEDF46E2A95B1D3XDTDM" TargetMode="External"/><Relationship Id="rId1630" Type="http://schemas.openxmlformats.org/officeDocument/2006/relationships/image" Target="media/image349.wmf"/><Relationship Id="rId1728" Type="http://schemas.openxmlformats.org/officeDocument/2006/relationships/image" Target="media/image431.wmf"/><Relationship Id="rId169" Type="http://schemas.openxmlformats.org/officeDocument/2006/relationships/hyperlink" Target="consultantplus://offline/ref=6CE049F5DC23C8FECAAA43E48537996286A729D8F1B43CA7F1F8D2AE5BE3B3EEADB4B7F535FE9B9A5B0600E4E32EFEF6602A97B9CFDFA406XAT6M" TargetMode="External"/><Relationship Id="rId376" Type="http://schemas.openxmlformats.org/officeDocument/2006/relationships/hyperlink" Target="consultantplus://offline/ref=6CE049F5DC23C8FECAAA43E48537996286A62EDFF1BD3CA7F1F8D2AE5BE3B3EEADB4B7F535FE9B985A0600E4E32EFEF6602A97B9CFDFA406XAT6M" TargetMode="External"/><Relationship Id="rId583" Type="http://schemas.openxmlformats.org/officeDocument/2006/relationships/hyperlink" Target="consultantplus://offline/ref=6CE049F5DC23C8FECAAA43E48537996287A226DDF5B13CA7F1F8D2AE5BE3B3EEADB4B7F535FE9A9D520600E4E32EFEF6602A97B9CFDFA406XAT6M" TargetMode="External"/><Relationship Id="rId790" Type="http://schemas.openxmlformats.org/officeDocument/2006/relationships/hyperlink" Target="consultantplus://offline/ref=6CE049F5DC23C8FECAAA43E48537996286A02BD0F4BD3CA7F1F8D2AE5BE3B3EEADB4B7F535FE9A915A0600E4E32EFEF6602A97B9CFDFA406XAT6M" TargetMode="External"/><Relationship Id="rId4" Type="http://schemas.openxmlformats.org/officeDocument/2006/relationships/webSettings" Target="webSettings.xml"/><Relationship Id="rId236" Type="http://schemas.openxmlformats.org/officeDocument/2006/relationships/hyperlink" Target="consultantplus://offline/ref=6CE049F5DC23C8FECAAA43E48537996286A626DBFDB03CA7F1F8D2AE5BE3B3EEADB4B7F535FE9B915C0600E4E32EFEF6602A97B9CFDFA406XAT6M" TargetMode="External"/><Relationship Id="rId443" Type="http://schemas.openxmlformats.org/officeDocument/2006/relationships/hyperlink" Target="consultantplus://offline/ref=6CE049F5DC23C8FECAAA43E48537996286A628DCF2B63CA7F1F8D2AE5BE3B3EEADB4B7F535FF999D5A0600E4E32EFEF6602A97B9CFDFA406XAT6M" TargetMode="External"/><Relationship Id="rId650" Type="http://schemas.openxmlformats.org/officeDocument/2006/relationships/hyperlink" Target="consultantplus://offline/ref=6CE049F5DC23C8FECAAA43E48537996287AA2DDEF7B23CA7F1F8D2AE5BE3B3EEADB4B7F535FE9B9C590600E4E32EFEF6602A97B9CFDFA406XAT6M" TargetMode="External"/><Relationship Id="rId888" Type="http://schemas.openxmlformats.org/officeDocument/2006/relationships/hyperlink" Target="consultantplus://offline/ref=6CE049F5DC23C8FECAAA43E48537996286A22EDDF5B33CA7F1F8D2AE5BE3B3EEADB4B7F535FE9A995B0600E4E32EFEF6602A97B9CFDFA406XAT6M" TargetMode="External"/><Relationship Id="rId1073" Type="http://schemas.openxmlformats.org/officeDocument/2006/relationships/image" Target="media/image220.wmf"/><Relationship Id="rId1280" Type="http://schemas.openxmlformats.org/officeDocument/2006/relationships/hyperlink" Target="consultantplus://offline/ref=6CE049F5DC23C8FECAAA43E48537996284A02ADBF0B53CA7F1F8D2AE5BE3B3EEADB4B7F53DFD90CD0B4901B8A57DEDF46E2A95B1D3XDTDM" TargetMode="External"/><Relationship Id="rId303" Type="http://schemas.openxmlformats.org/officeDocument/2006/relationships/hyperlink" Target="consultantplus://offline/ref=6CE049F5DC23C8FECAAA43E48537996284A52BDCFDB13CA7F1F8D2AE5BE3B3EEADB4B7F535FE9A9B520600E4E32EFEF6602A97B9CFDFA406XAT6M" TargetMode="External"/><Relationship Id="rId748" Type="http://schemas.openxmlformats.org/officeDocument/2006/relationships/hyperlink" Target="consultantplus://offline/ref=6CE049F5DC23C8FECAAA43E48537996284A62FDDF4B43CA7F1F8D2AE5BE3B3EEADB4B7F535FE999A5E0600E4E32EFEF6602A97B9CFDFA406XAT6M" TargetMode="External"/><Relationship Id="rId955" Type="http://schemas.openxmlformats.org/officeDocument/2006/relationships/hyperlink" Target="consultantplus://offline/ref=6CE049F5DC23C8FECAAA43E48537996286A628D1FCB73CA7F1F8D2AE5BE3B3EEADB4B7F535FE9B9D5D0600E4E32EFEF6602A97B9CFDFA406XAT6M" TargetMode="External"/><Relationship Id="rId1140" Type="http://schemas.openxmlformats.org/officeDocument/2006/relationships/image" Target="media/image253.wmf"/><Relationship Id="rId1378" Type="http://schemas.openxmlformats.org/officeDocument/2006/relationships/hyperlink" Target="consultantplus://offline/ref=6CE049F5DC23C8FECAAA43E48537996284A02AD8F1B03CA7F1F8D2AE5BE3B3EEADB4B7F036FB90CD0B4901B8A57DEDF46E2A95B1D3XDTDM" TargetMode="External"/><Relationship Id="rId1585" Type="http://schemas.openxmlformats.org/officeDocument/2006/relationships/image" Target="media/image310.wmf"/><Relationship Id="rId1792" Type="http://schemas.openxmlformats.org/officeDocument/2006/relationships/image" Target="media/image489.wmf"/><Relationship Id="rId84" Type="http://schemas.openxmlformats.org/officeDocument/2006/relationships/hyperlink" Target="consultantplus://offline/ref=6CE049F5DC23C8FECAAA43E48537996286A628DDF6B33CA7F1F8D2AE5BE3B3EEADB4B7F535FE9B985C0600E4E32EFEF6602A97B9CFDFA406XAT6M" TargetMode="External"/><Relationship Id="rId510" Type="http://schemas.openxmlformats.org/officeDocument/2006/relationships/hyperlink" Target="consultantplus://offline/ref=6CE049F5DC23C8FECAAA43E48537996284A52BDCFDB13CA7F1F8D2AE5BE3B3EEADB4B7F535FE99985A0600E4E32EFEF6602A97B9CFDFA406XAT6M" TargetMode="External"/><Relationship Id="rId608" Type="http://schemas.openxmlformats.org/officeDocument/2006/relationships/hyperlink" Target="consultantplus://offline/ref=6CE049F5DC23C8FECAAA43E48537996286A32CDBF7BD3CA7F1F8D2AE5BE3B3EEADB4B7F535FE9A9B5A0600E4E32EFEF6602A97B9CFDFA406XAT6M" TargetMode="External"/><Relationship Id="rId815" Type="http://schemas.openxmlformats.org/officeDocument/2006/relationships/image" Target="media/image66.wmf"/><Relationship Id="rId1238" Type="http://schemas.openxmlformats.org/officeDocument/2006/relationships/hyperlink" Target="consultantplus://offline/ref=6CE049F5DC23C8FECAAA43E48537996287A328DCF4B03CA7F1F8D2AE5BE3B3EEADB4B7F535FE9F915F0600E4E32EFEF6602A97B9CFDFA406XAT6M" TargetMode="External"/><Relationship Id="rId1445" Type="http://schemas.openxmlformats.org/officeDocument/2006/relationships/hyperlink" Target="consultantplus://offline/ref=6CE049F5DC23C8FECAAA43E48537996284A026DDF2B63CA7F1F8D2AE5BE3B3EEADB4B7F535FE9B915C0600E4E32EFEF6602A97B9CFDFA406XAT6M" TargetMode="External"/><Relationship Id="rId1652" Type="http://schemas.openxmlformats.org/officeDocument/2006/relationships/image" Target="media/image368.wmf"/><Relationship Id="rId1000" Type="http://schemas.openxmlformats.org/officeDocument/2006/relationships/image" Target="media/image181.wmf"/><Relationship Id="rId1305" Type="http://schemas.openxmlformats.org/officeDocument/2006/relationships/hyperlink" Target="consultantplus://offline/ref=6CE049F5DC23C8FECAAA43E48537996284A02AD8F1B03CA7F1F8D2AE5BE3B3EEADB4B7F535FE9F9B5D0600E4E32EFEF6602A97B9CFDFA406XAT6M" TargetMode="External"/><Relationship Id="rId1512" Type="http://schemas.openxmlformats.org/officeDocument/2006/relationships/hyperlink" Target="consultantplus://offline/ref=6CE049F5DC23C8FECAAA43E48537996284A028D0F6B43CA7F1F8D2AE5BE3B3EEADB4B7F535FE9B9B580600E4E32EFEF6602A97B9CFDFA406XAT6M" TargetMode="External"/><Relationship Id="rId1817" Type="http://schemas.openxmlformats.org/officeDocument/2006/relationships/image" Target="media/image511.wmf"/><Relationship Id="rId11" Type="http://schemas.openxmlformats.org/officeDocument/2006/relationships/hyperlink" Target="consultantplus://offline/ref=6CE049F5DC23C8FECAAA43E48537996286A72DDCF2B33CA7F1F8D2AE5BE3B3EEADB4B7F535FE9B9E5A0600E4E32EFEF6602A97B9CFDFA406XAT6M" TargetMode="External"/><Relationship Id="rId398" Type="http://schemas.openxmlformats.org/officeDocument/2006/relationships/hyperlink" Target="consultantplus://offline/ref=6CE049F5DC23C8FECAAA43E48537996286A729DAFCB03CA7F1F8D2AE5BE3B3EEADB4B7F535FE9B9B5D0600E4E32EFEF6602A97B9CFDFA406XAT6M" TargetMode="External"/><Relationship Id="rId160" Type="http://schemas.openxmlformats.org/officeDocument/2006/relationships/hyperlink" Target="consultantplus://offline/ref=6CE049F5DC23C8FECAAA43E48537996286A72ED9F7B63CA7F1F8D2AE5BE3B3EEADB4B7F535FE9B9B5F0600E4E32EFEF6602A97B9CFDFA406XAT6M" TargetMode="External"/><Relationship Id="rId258" Type="http://schemas.openxmlformats.org/officeDocument/2006/relationships/hyperlink" Target="consultantplus://offline/ref=6CE049F5DC23C8FECAAA43E48537996286A628DCF2B63CA7F1F8D2AE5BE3B3EEADB4B7F535FE9C9E5C0600E4E32EFEF6602A97B9CFDFA406XAT6M" TargetMode="External"/><Relationship Id="rId465" Type="http://schemas.openxmlformats.org/officeDocument/2006/relationships/hyperlink" Target="consultantplus://offline/ref=6CE049F5DC23C8FECAAA43E48537996286A628D1FCB73CA7F1F8D2AE5BE3B3EEADB4B7F535FE9B9D5D0600E4E32EFEF6602A97B9CFDFA406XAT6M" TargetMode="External"/><Relationship Id="rId672" Type="http://schemas.openxmlformats.org/officeDocument/2006/relationships/hyperlink" Target="consultantplus://offline/ref=6CE049F5DC23C8FECAAA43E48537996284A62FDDF4B43CA7F1F8D2AE5BE3B3EEADB4B7F535FE9A9E5C0600E4E32EFEF6602A97B9CFDFA406XAT6M" TargetMode="External"/><Relationship Id="rId1095" Type="http://schemas.openxmlformats.org/officeDocument/2006/relationships/image" Target="media/image240.wmf"/><Relationship Id="rId118" Type="http://schemas.openxmlformats.org/officeDocument/2006/relationships/hyperlink" Target="consultantplus://offline/ref=6CE049F5DC23C8FECAAA43E48537996286A72ED1F4B63CA7F1F8D2AE5BE3B3EEADB4B7F535FE9B9B520600E4E32EFEF6602A97B9CFDFA406XAT6M" TargetMode="External"/><Relationship Id="rId325" Type="http://schemas.openxmlformats.org/officeDocument/2006/relationships/hyperlink" Target="consultantplus://offline/ref=6CE049F5DC23C8FECAAA43E48537996287AA2ED1F7B63CA7F1F8D2AE5BE3B3EEADB4B7F535FE9B985A0600E4E32EFEF6602A97B9CFDFA406XAT6M" TargetMode="External"/><Relationship Id="rId532" Type="http://schemas.openxmlformats.org/officeDocument/2006/relationships/hyperlink" Target="consultantplus://offline/ref=6CE049F5DC23C8FECAAA43E48537996286A729DAFCB03CA7F1F8D2AE5BE3B3EEADB4B7F535FE9B9B5D0600E4E32EFEF6602A97B9CFDFA406XAT6M" TargetMode="External"/><Relationship Id="rId977" Type="http://schemas.openxmlformats.org/officeDocument/2006/relationships/hyperlink" Target="consultantplus://offline/ref=6CE049F5DC23C8FECAAA43E48537996286A22EDDF5B33CA7F1F8D2AE5BE3B3EEADB4B7F535FE9A9A590600E4E32EFEF6602A97B9CFDFA406XAT6M" TargetMode="External"/><Relationship Id="rId1162" Type="http://schemas.openxmlformats.org/officeDocument/2006/relationships/hyperlink" Target="consultantplus://offline/ref=6CE049F5DC23C8FECAAA43E48537996286A32BDDF7B23CA7F1F8D2AE5BE3B3EEADB4B7F535FE9999580600E4E32EFEF6602A97B9CFDFA406XAT6M" TargetMode="External"/><Relationship Id="rId837" Type="http://schemas.openxmlformats.org/officeDocument/2006/relationships/image" Target="media/image87.wmf"/><Relationship Id="rId1022" Type="http://schemas.openxmlformats.org/officeDocument/2006/relationships/hyperlink" Target="consultantplus://offline/ref=6CE049F5DC23C8FECAAA43E48537996286A22EDDF5B33CA7F1F8D2AE5BE3B3EEADB4B7F535FE9A9C580600E4E32EFEF6602A97B9CFDFA406XAT6M" TargetMode="External"/><Relationship Id="rId1467" Type="http://schemas.openxmlformats.org/officeDocument/2006/relationships/hyperlink" Target="consultantplus://offline/ref=6CE049F5DC23C8FECAAA43E48537996286A02ADBFDB63CA7F1F8D2AE5BE3B3EEADB4B7F535FE9B98580600E4E32EFEF6602A97B9CFDFA406XAT6M" TargetMode="External"/><Relationship Id="rId1674" Type="http://schemas.openxmlformats.org/officeDocument/2006/relationships/hyperlink" Target="consultantplus://offline/ref=6CE049F5DC23C8FECAAA43E48537996286A628D1FCB73CA7F1F8D2AE5BE3B3EEADB4B7F535FE9B9D5D0600E4E32EFEF6602A97B9CFDFA406XAT6M" TargetMode="External"/><Relationship Id="rId1881" Type="http://schemas.openxmlformats.org/officeDocument/2006/relationships/theme" Target="theme/theme1.xml"/><Relationship Id="rId904" Type="http://schemas.openxmlformats.org/officeDocument/2006/relationships/hyperlink" Target="consultantplus://offline/ref=6CE049F5DC23C8FECAAA43E48537996286A22EDDF5B33CA7F1F8D2AE5BE3B3EEADB4B7F535FE9A995C0600E4E32EFEF6602A97B9CFDFA406XAT6M" TargetMode="External"/><Relationship Id="rId1327" Type="http://schemas.openxmlformats.org/officeDocument/2006/relationships/hyperlink" Target="consultantplus://offline/ref=6CE049F5DC23C8FECAAA43E48537996286A628DCF2B63CA7F1F8D2AE5BE3B3EEADB4B7F535FE9C9E5C0600E4E32EFEF6602A97B9CFDFA406XAT6M" TargetMode="External"/><Relationship Id="rId1534" Type="http://schemas.openxmlformats.org/officeDocument/2006/relationships/image" Target="media/image262.wmf"/><Relationship Id="rId1741" Type="http://schemas.openxmlformats.org/officeDocument/2006/relationships/image" Target="media/image443.wmf"/><Relationship Id="rId33" Type="http://schemas.openxmlformats.org/officeDocument/2006/relationships/hyperlink" Target="consultantplus://offline/ref=6CE049F5DC23C8FECAAA43E48537996287A326D1F7B73CA7F1F8D2AE5BE3B3EEADB4B7F535FE9A98530600E4E32EFEF6602A97B9CFDFA406XAT6M" TargetMode="External"/><Relationship Id="rId1601" Type="http://schemas.openxmlformats.org/officeDocument/2006/relationships/image" Target="media/image323.wmf"/><Relationship Id="rId1839" Type="http://schemas.openxmlformats.org/officeDocument/2006/relationships/hyperlink" Target="consultantplus://offline/ref=6CE049F5DC23C8FECAAA43E48537996286A729DAFCB03CA7F1F8D2AE5BE3B3EEADB4B7F535FE9B9B5D0600E4E32EFEF6602A97B9CFDFA406XAT6M" TargetMode="External"/><Relationship Id="rId182" Type="http://schemas.openxmlformats.org/officeDocument/2006/relationships/hyperlink" Target="consultantplus://offline/ref=6CE049F5DC23C8FECAAA43E48537996286A628DCF2B63CA7F1F8D2AE5BE3B3EEADB4B7F535FF9B915A0600E4E32EFEF6602A97B9CFDFA406XAT6M" TargetMode="External"/><Relationship Id="rId487" Type="http://schemas.openxmlformats.org/officeDocument/2006/relationships/image" Target="media/image23.wmf"/><Relationship Id="rId694" Type="http://schemas.openxmlformats.org/officeDocument/2006/relationships/hyperlink" Target="consultantplus://offline/ref=6CE049F5DC23C8FECAAA43E48537996284A62FDDF4B43CA7F1F8D2AE5BE3B3EEADB4B7F535FE9998590600E4E32EFEF6602A97B9CFDFA406XAT6M" TargetMode="External"/><Relationship Id="rId347" Type="http://schemas.openxmlformats.org/officeDocument/2006/relationships/hyperlink" Target="consultantplus://offline/ref=6CE049F5DC23C8FECAAA43E48537996286A628DCF2B63CA7F1F8D2AE5BE3B3EEADB4B7F535FE989E530600E4E32EFEF6602A97B9CFDFA406XAT6M" TargetMode="External"/><Relationship Id="rId999" Type="http://schemas.openxmlformats.org/officeDocument/2006/relationships/hyperlink" Target="consultantplus://offline/ref=6CE049F5DC23C8FECAAA43E48537996286A22EDDF5B33CA7F1F8D2AE5BE3B3EEADB4B7F535FE9A9D590600E4E32EFEF6602A97B9CFDFA406XAT6M" TargetMode="External"/><Relationship Id="rId1184" Type="http://schemas.openxmlformats.org/officeDocument/2006/relationships/hyperlink" Target="consultantplus://offline/ref=6CE049F5DC23C8FECAAA43E48537996287A328DCF4B03CA7F1F8D2AE5BE3B3EEADB4B7F535FE999A530600E4E32EFEF6602A97B9CFDFA406XAT6M" TargetMode="External"/><Relationship Id="rId554" Type="http://schemas.openxmlformats.org/officeDocument/2006/relationships/hyperlink" Target="consultantplus://offline/ref=6CE049F5DC23C8FECAAA43E48537996286A628DDF6B33CA7F1F8D2AE5BE3B3EEADB4B7F535FE9B985D0600E4E32EFEF6602A97B9CFDFA406XAT6M" TargetMode="External"/><Relationship Id="rId761" Type="http://schemas.openxmlformats.org/officeDocument/2006/relationships/hyperlink" Target="consultantplus://offline/ref=6CE049F5DC23C8FECAAA43E48537996286A628DDF6B33CA7F1F8D2AE5BE3B3EEADB4B7F535FE9B9E5A0600E4E32EFEF6602A97B9CFDFA406XAT6M" TargetMode="External"/><Relationship Id="rId859" Type="http://schemas.openxmlformats.org/officeDocument/2006/relationships/image" Target="media/image102.wmf"/><Relationship Id="rId1391" Type="http://schemas.openxmlformats.org/officeDocument/2006/relationships/hyperlink" Target="consultantplus://offline/ref=6CE049F5DC23C8FECAAA43E48537996284A02AD8F1B03CA7F1F8D2AE5BE3B3EEADB4B7F535FE9C9A5B0600E4E32EFEF6602A97B9CFDFA406XAT6M" TargetMode="External"/><Relationship Id="rId1489" Type="http://schemas.openxmlformats.org/officeDocument/2006/relationships/hyperlink" Target="consultantplus://offline/ref=6CE049F5DC23C8FECAAA43E48537996286A628DCF2B63CA7F1F8D2AE5BE3B3EEADB4B7F535FE989E530600E4E32EFEF6602A97B9CFDFA406XAT6M" TargetMode="External"/><Relationship Id="rId1696" Type="http://schemas.openxmlformats.org/officeDocument/2006/relationships/image" Target="media/image404.wmf"/><Relationship Id="rId207" Type="http://schemas.openxmlformats.org/officeDocument/2006/relationships/hyperlink" Target="consultantplus://offline/ref=6CE049F5DC23C8FECAAA43E48537996286A628DCF2B63CA7F1F8D2AE5BE3B3EEADB4B7F535FE9C9E5C0600E4E32EFEF6602A97B9CFDFA406XAT6M" TargetMode="External"/><Relationship Id="rId414" Type="http://schemas.openxmlformats.org/officeDocument/2006/relationships/hyperlink" Target="consultantplus://offline/ref=6CE049F5DC23C8FECAAA43E48537996287A226DDF5B13CA7F1F8D2AE5BE3B3EEADB4B7F535FE9A9A5F0600E4E32EFEF6602A97B9CFDFA406XAT6M" TargetMode="External"/><Relationship Id="rId621" Type="http://schemas.openxmlformats.org/officeDocument/2006/relationships/hyperlink" Target="consultantplus://offline/ref=6CE049F5DC23C8FECAAA43E48537996286A32CDBF7BD3CA7F1F8D2AE5BE3B3EEADB4B7F535FE9A9B5B0600E4E32EFEF6602A97B9CFDFA406XAT6M" TargetMode="External"/><Relationship Id="rId1044" Type="http://schemas.openxmlformats.org/officeDocument/2006/relationships/image" Target="media/image207.wmf"/><Relationship Id="rId1251" Type="http://schemas.openxmlformats.org/officeDocument/2006/relationships/hyperlink" Target="consultantplus://offline/ref=6CE049F5DC23C8FECAAA43E48537996286A72ED1F3B53CA7F1F8D2AE5BE3B3EEADB4B7F535FE9B98530600E4E32EFEF6602A97B9CFDFA406XAT6M" TargetMode="External"/><Relationship Id="rId1349" Type="http://schemas.openxmlformats.org/officeDocument/2006/relationships/hyperlink" Target="consultantplus://offline/ref=6CE049F5DC23C8FECAAA43E48537996284A02AD8F1B03CA7F1F8D2AE5BE3B3EEADB4B7F535FE9C91530600E4E32EFEF6602A97B9CFDFA406XAT6M" TargetMode="External"/><Relationship Id="rId719" Type="http://schemas.openxmlformats.org/officeDocument/2006/relationships/hyperlink" Target="consultantplus://offline/ref=6CE049F5DC23C8FECAAA43E48537996286A628DDF6B33CA7F1F8D2AE5BE3B3EEADB4B7F535FE9B9D5B0600E4E32EFEF6602A97B9CFDFA406XAT6M" TargetMode="External"/><Relationship Id="rId926" Type="http://schemas.openxmlformats.org/officeDocument/2006/relationships/hyperlink" Target="consultantplus://offline/ref=6CE049F5DC23C8FECAAA43E48537996286A22EDDF5B33CA7F1F8D2AE5BE3B3EEADB4B7F535FE9A98590600E4E32EFEF6602A97B9CFDFA406XAT6M" TargetMode="External"/><Relationship Id="rId1111" Type="http://schemas.openxmlformats.org/officeDocument/2006/relationships/image" Target="media/image245.wmf"/><Relationship Id="rId1556" Type="http://schemas.openxmlformats.org/officeDocument/2006/relationships/image" Target="media/image284.wmf"/><Relationship Id="rId1763" Type="http://schemas.openxmlformats.org/officeDocument/2006/relationships/image" Target="media/image463.wmf"/><Relationship Id="rId55" Type="http://schemas.openxmlformats.org/officeDocument/2006/relationships/hyperlink" Target="consultantplus://offline/ref=6CE049F5DC23C8FECAAA43E48537996286A626DBFDB03CA7F1F8D2AE5BE3B3EEADB4B7F535FE9B9F580600E4E32EFEF6602A97B9CFDFA406XAT6M" TargetMode="External"/><Relationship Id="rId1209" Type="http://schemas.openxmlformats.org/officeDocument/2006/relationships/hyperlink" Target="consultantplus://offline/ref=6CE049F5DC23C8FECAAA43E48537996287A328DCF4B03CA7F1F8D2AE5BE3B3EEADB4B7F535FE989E5D0600E4E32EFEF6602A97B9CFDFA406XAT6M" TargetMode="External"/><Relationship Id="rId1416" Type="http://schemas.openxmlformats.org/officeDocument/2006/relationships/hyperlink" Target="consultantplus://offline/ref=6CE049F5DC23C8FECAAA43E48537996284A02AD8F1B03CA7F1F8D2AE5BE3B3EEADB4B7F537F790CD0B4901B8A57DEDF46E2A95B1D3XDTDM" TargetMode="External"/><Relationship Id="rId1623" Type="http://schemas.openxmlformats.org/officeDocument/2006/relationships/image" Target="media/image343.wmf"/><Relationship Id="rId1830" Type="http://schemas.openxmlformats.org/officeDocument/2006/relationships/image" Target="media/image522.wmf"/><Relationship Id="rId271" Type="http://schemas.openxmlformats.org/officeDocument/2006/relationships/hyperlink" Target="consultantplus://offline/ref=6CE049F5DC23C8FECAAA43E48537996284A72FD9F6B73CA7F1F8D2AE5BE3B3EEADB4B7F535FE9B9D580600E4E32EFEF6602A97B9CFDFA406XAT6M" TargetMode="External"/><Relationship Id="rId131" Type="http://schemas.openxmlformats.org/officeDocument/2006/relationships/hyperlink" Target="consultantplus://offline/ref=6CE049F5DC23C8FECAAA43E48537996286A626DBFDB03CA7F1F8D2AE5BE3B3EEADB4B7F535FE9B9F5C0600E4E32EFEF6602A97B9CFDFA406XAT6M" TargetMode="External"/><Relationship Id="rId369" Type="http://schemas.openxmlformats.org/officeDocument/2006/relationships/hyperlink" Target="consultantplus://offline/ref=6CE049F5DC23C8FECAAA43E48537996284A52BDCFDB13CA7F1F8D2AE5BE3B3EEADB4B7F535FE9A91530600E4E32EFEF6602A97B9CFDFA406XAT6M" TargetMode="External"/><Relationship Id="rId576" Type="http://schemas.openxmlformats.org/officeDocument/2006/relationships/hyperlink" Target="consultantplus://offline/ref=6CE049F5DC23C8FECAAA43E48537996286A028DCFCB13CA7F1F8D2AE5BE3B3EEADB4B7F535FE9B9B5D0600E4E32EFEF6602A97B9CFDFA406XAT6M" TargetMode="External"/><Relationship Id="rId783" Type="http://schemas.openxmlformats.org/officeDocument/2006/relationships/hyperlink" Target="consultantplus://offline/ref=6CE049F5DC23C8FECAAA43E48537996286A02BD0F4BD3CA7F1F8D2AE5BE3B3EEADB4B7F535FE9A9E530600E4E32EFEF6602A97B9CFDFA406XAT6M" TargetMode="External"/><Relationship Id="rId990" Type="http://schemas.openxmlformats.org/officeDocument/2006/relationships/image" Target="media/image176.wmf"/><Relationship Id="rId229" Type="http://schemas.openxmlformats.org/officeDocument/2006/relationships/hyperlink" Target="consultantplus://offline/ref=6CE049F5DC23C8FECAAA43E48537996286A32BDDF7B23CA7F1F8D2AE5BE3B3EEADB4B7F535FE9A905A0600E4E32EFEF6602A97B9CFDFA406XAT6M" TargetMode="External"/><Relationship Id="rId436" Type="http://schemas.openxmlformats.org/officeDocument/2006/relationships/hyperlink" Target="consultantplus://offline/ref=6CE049F5DC23C8FECAAA43E48537996286A729DAFCB03CA7F1F8D2AE5BE3B3EEADB4B7F535FE929E5C0600E4E32EFEF6602A97B9CFDFA406XAT6M" TargetMode="External"/><Relationship Id="rId643" Type="http://schemas.openxmlformats.org/officeDocument/2006/relationships/hyperlink" Target="consultantplus://offline/ref=6CE049F5DC23C8FECAAA43E48537996284A62FDDF4B43CA7F1F8D2AE5BE3B3EEADB4B7F535FE9A9B5D0600E4E32EFEF6602A97B9CFDFA406XAT6M" TargetMode="External"/><Relationship Id="rId1066" Type="http://schemas.openxmlformats.org/officeDocument/2006/relationships/hyperlink" Target="consultantplus://offline/ref=6CE049F5DC23C8FECAAA43E48537996286A22EDDF5B33CA7F1F8D2AE5BE3B3EEADB4B7F535FE9A9E580600E4E32EFEF6602A97B9CFDFA406XAT6M" TargetMode="External"/><Relationship Id="rId1273" Type="http://schemas.openxmlformats.org/officeDocument/2006/relationships/hyperlink" Target="consultantplus://offline/ref=6CE049F5DC23C8FECAAA43E48537996284A02ADBF0B53CA7F1F8D2AE5BE3B3EEADB4B7F53DF690CD0B4901B8A57DEDF46E2A95B1D3XDTDM" TargetMode="External"/><Relationship Id="rId1480" Type="http://schemas.openxmlformats.org/officeDocument/2006/relationships/hyperlink" Target="consultantplus://offline/ref=6CE049F5DC23C8FECAAA43E48537996284A026DDF2B13CA7F1F8D2AE5BE3B3EEADB4B7F535FE9F995A0600E4E32EFEF6602A97B9CFDFA406XAT6M" TargetMode="External"/><Relationship Id="rId850" Type="http://schemas.openxmlformats.org/officeDocument/2006/relationships/image" Target="media/image96.wmf"/><Relationship Id="rId948" Type="http://schemas.openxmlformats.org/officeDocument/2006/relationships/hyperlink" Target="consultantplus://offline/ref=6CE049F5DC23C8FECAAA43E48537996286A22EDDF5B33CA7F1F8D2AE5BE3B3EEADB4B7F535FE9A9B590600E4E32EFEF6602A97B9CFDFA406XAT6M" TargetMode="External"/><Relationship Id="rId1133" Type="http://schemas.openxmlformats.org/officeDocument/2006/relationships/image" Target="media/image248.wmf"/><Relationship Id="rId1578" Type="http://schemas.openxmlformats.org/officeDocument/2006/relationships/image" Target="media/image305.wmf"/><Relationship Id="rId1785" Type="http://schemas.openxmlformats.org/officeDocument/2006/relationships/image" Target="media/image482.wmf"/><Relationship Id="rId77" Type="http://schemas.openxmlformats.org/officeDocument/2006/relationships/hyperlink" Target="consultantplus://offline/ref=6CE049F5DC23C8FECAAA43E48537996286A72DDCF2B33CA7F1F8D2AE5BE3B3EEADB4B7F535FE9B9E580600E4E32EFEF6602A97B9CFDFA406XAT6M" TargetMode="External"/><Relationship Id="rId282" Type="http://schemas.openxmlformats.org/officeDocument/2006/relationships/hyperlink" Target="consultantplus://offline/ref=6CE049F5DC23C8FECAAA43E48537996286A628DCF2B63CA7F1F8D2AE5BE3B3EEADB4B7F535FE989E530600E4E32EFEF6602A97B9CFDFA406XAT6M" TargetMode="External"/><Relationship Id="rId503" Type="http://schemas.openxmlformats.org/officeDocument/2006/relationships/hyperlink" Target="consultantplus://offline/ref=6CE049F5DC23C8FECAAA43E48537996287A326D1F7B73CA7F1F8D2AE5BE3B3EEADB4B7F535FE9A9D520600E4E32EFEF6602A97B9CFDFA406XAT6M" TargetMode="External"/><Relationship Id="rId587" Type="http://schemas.openxmlformats.org/officeDocument/2006/relationships/hyperlink" Target="consultantplus://offline/ref=6CE049F5DC23C8FECAAA43E48537996287AA2DDEF7B23CA7F1F8D2AE5BE3B3EEADB4B7F535FE9B9B530600E4E32EFEF6602A97B9CFDFA406XAT6M" TargetMode="External"/><Relationship Id="rId710" Type="http://schemas.openxmlformats.org/officeDocument/2006/relationships/hyperlink" Target="consultantplus://offline/ref=6CE049F5DC23C8FECAAA43E48537996286A628DDF6B33CA7F1F8D2AE5BE3B3EEADB4B7F535FE9B9A580600E4E32EFEF6602A97B9CFDFA406XAT6M" TargetMode="External"/><Relationship Id="rId808" Type="http://schemas.openxmlformats.org/officeDocument/2006/relationships/image" Target="media/image60.wmf"/><Relationship Id="rId1340" Type="http://schemas.openxmlformats.org/officeDocument/2006/relationships/hyperlink" Target="consultantplus://offline/ref=6CE049F5DC23C8FECAAA43E48537996284A02AD8F1B03CA7F1F8D2AE5BE3B3EEADB4B7F535FE9E9A590600E4E32EFEF6602A97B9CFDFA406XAT6M" TargetMode="External"/><Relationship Id="rId1438" Type="http://schemas.openxmlformats.org/officeDocument/2006/relationships/hyperlink" Target="consultantplus://offline/ref=6CE049F5DC23C8FECAAA43E48537996284A02AD8F1B03CA7F1F8D2AE5BE3B3EEADB4B7F034FE90CD0B4901B8A57DEDF46E2A95B1D3XDTDM" TargetMode="External"/><Relationship Id="rId1645" Type="http://schemas.openxmlformats.org/officeDocument/2006/relationships/image" Target="media/image361.wmf"/><Relationship Id="rId8" Type="http://schemas.openxmlformats.org/officeDocument/2006/relationships/hyperlink" Target="consultantplus://offline/ref=6CE049F5DC23C8FECAAA43E48537996284A72FD9F6B73CA7F1F8D2AE5BE3B3EEADB4B7F535FE9B9D580600E4E32EFEF6602A97B9CFDFA406XAT6M" TargetMode="External"/><Relationship Id="rId142" Type="http://schemas.openxmlformats.org/officeDocument/2006/relationships/hyperlink" Target="consultantplus://offline/ref=6CE049F5DC23C8FECAAA43E48537996286A62DD9F1B63CA7F1F8D2AE5BE3B3EEBFB4EFF937F88599521356B5A5X7TBM" TargetMode="External"/><Relationship Id="rId447" Type="http://schemas.openxmlformats.org/officeDocument/2006/relationships/image" Target="media/image1.wmf"/><Relationship Id="rId794" Type="http://schemas.openxmlformats.org/officeDocument/2006/relationships/image" Target="media/image46.wmf"/><Relationship Id="rId1077" Type="http://schemas.openxmlformats.org/officeDocument/2006/relationships/image" Target="media/image224.wmf"/><Relationship Id="rId1200" Type="http://schemas.openxmlformats.org/officeDocument/2006/relationships/hyperlink" Target="consultantplus://offline/ref=6CE049F5DC23C8FECAAA43E48537996287A328DCF4B03CA7F1F8D2AE5BE3B3EEADB4B7F535FE989A520600E4E32EFEF6602A97B9CFDFA406XAT6M" TargetMode="External"/><Relationship Id="rId1852" Type="http://schemas.openxmlformats.org/officeDocument/2006/relationships/image" Target="media/image535.wmf"/><Relationship Id="rId654" Type="http://schemas.openxmlformats.org/officeDocument/2006/relationships/hyperlink" Target="consultantplus://offline/ref=6CE049F5DC23C8FECAAA43E48537996284A62FDDF4B43CA7F1F8D2AE5BE3B3EEADB4B7F535FE9A9C5F0600E4E32EFEF6602A97B9CFDFA406XAT6M" TargetMode="External"/><Relationship Id="rId861" Type="http://schemas.openxmlformats.org/officeDocument/2006/relationships/hyperlink" Target="consultantplus://offline/ref=6CE049F5DC23C8FECAAA43E48537996286A22EDDF5B33CA7F1F8D2AE5BE3B3EEADB4B7F535FE9B905A0600E4E32EFEF6602A97B9CFDFA406XAT6M" TargetMode="External"/><Relationship Id="rId959" Type="http://schemas.openxmlformats.org/officeDocument/2006/relationships/image" Target="media/image157.wmf"/><Relationship Id="rId1284" Type="http://schemas.openxmlformats.org/officeDocument/2006/relationships/hyperlink" Target="consultantplus://offline/ref=6CE049F5DC23C8FECAAA43E48537996284A02AD8F1B03CA7F1F8D2AE5BE3B3EEADB4B7F535FE9891580600E4E32EFEF6602A97B9CFDFA406XAT6M" TargetMode="External"/><Relationship Id="rId1491" Type="http://schemas.openxmlformats.org/officeDocument/2006/relationships/hyperlink" Target="consultantplus://offline/ref=6CE049F5DC23C8FECAAA43E48537996284A026DDF2B13CA7F1F8D2AE5BE3B3EEADB4B7F535FE9E9B5A0600E4E32EFEF6602A97B9CFDFA406XAT6M" TargetMode="External"/><Relationship Id="rId1505" Type="http://schemas.openxmlformats.org/officeDocument/2006/relationships/hyperlink" Target="consultantplus://offline/ref=6CE049F5DC23C8FECAAA43E48537996284A028D0F6B43CA7F1F8D2AE5BE3B3EEADB4B7F535FE9B985E0600E4E32EFEF6602A97B9CFDFA406XAT6M" TargetMode="External"/><Relationship Id="rId1589" Type="http://schemas.openxmlformats.org/officeDocument/2006/relationships/image" Target="media/image314.wmf"/><Relationship Id="rId1712" Type="http://schemas.openxmlformats.org/officeDocument/2006/relationships/image" Target="media/image419.wmf"/><Relationship Id="rId293" Type="http://schemas.openxmlformats.org/officeDocument/2006/relationships/hyperlink" Target="consultantplus://offline/ref=6CE049F5DC23C8FECAAA43E48537996287A02FDEF5B13CA7F1F8D2AE5BE3B3EEADB4B7F535FE9A99520600E4E32EFEF6602A97B9CFDFA406XAT6M" TargetMode="External"/><Relationship Id="rId307" Type="http://schemas.openxmlformats.org/officeDocument/2006/relationships/hyperlink" Target="consultantplus://offline/ref=6CE049F5DC23C8FECAAA43E48537996284A52BDCFDB13CA7F1F8D2AE5BE3B3EEADB4B7F535FE9A9A5C0600E4E32EFEF6602A97B9CFDFA406XAT6M" TargetMode="External"/><Relationship Id="rId514" Type="http://schemas.openxmlformats.org/officeDocument/2006/relationships/hyperlink" Target="consultantplus://offline/ref=6CE049F5DC23C8FECAAA43E48537996286A729DAFCB03CA7F1F8D2AE5BE3B3EEADB4B7F535FE9B9B5D0600E4E32EFEF6602A97B9CFDFA406XAT6M" TargetMode="External"/><Relationship Id="rId721" Type="http://schemas.openxmlformats.org/officeDocument/2006/relationships/hyperlink" Target="consultantplus://offline/ref=6CE049F5DC23C8FECAAA43E48537996287A226DDF5B13CA7F1F8D2AE5BE3B3EEADB4B7F535FE9A9C530600E4E32EFEF6602A97B9CFDFA406XAT6M" TargetMode="External"/><Relationship Id="rId1144" Type="http://schemas.openxmlformats.org/officeDocument/2006/relationships/hyperlink" Target="consultantplus://offline/ref=6CE049F5DC23C8FECAAA43E48537996287A02FDEF5B13CA7F1F8D2AE5BE3B3EEADB4B7F535FE9A9F590600E4E32EFEF6602A97B9CFDFA406XAT6M" TargetMode="External"/><Relationship Id="rId1351" Type="http://schemas.openxmlformats.org/officeDocument/2006/relationships/hyperlink" Target="consultantplus://offline/ref=6CE049F5DC23C8FECAAA43E48537996284A02AD8F1B03CA7F1F8D2AE5BE3B3EEADB4B7F535FE9D915D0600E4E32EFEF6602A97B9CFDFA406XAT6M" TargetMode="External"/><Relationship Id="rId1449" Type="http://schemas.openxmlformats.org/officeDocument/2006/relationships/hyperlink" Target="consultantplus://offline/ref=6CE049F5DC23C8FECAAA43E48537996284A026DDF2B63CA7F1F8D2AE5BE3B3EEADB4B7F535FE9A9C590600E4E32EFEF6602A97B9CFDFA406XAT6M" TargetMode="External"/><Relationship Id="rId1796" Type="http://schemas.openxmlformats.org/officeDocument/2006/relationships/image" Target="media/image492.wmf"/><Relationship Id="rId88" Type="http://schemas.openxmlformats.org/officeDocument/2006/relationships/hyperlink" Target="consultantplus://offline/ref=6CE049F5DC23C8FECAAA43E48537996286A328DEF7BD3CA7F1F8D2AE5BE3B3EEADB4B7F535FE9B9E5A0600E4E32EFEF6602A97B9CFDFA406XAT6M" TargetMode="External"/><Relationship Id="rId153" Type="http://schemas.openxmlformats.org/officeDocument/2006/relationships/hyperlink" Target="consultantplus://offline/ref=6CE049F5DC23C8FECAAA43E48537996286A729DAFCB03CA7F1F8D2AE5BE3B3EEADB4B7F535FE9B9B5D0600E4E32EFEF6602A97B9CFDFA406XAT6M" TargetMode="External"/><Relationship Id="rId360" Type="http://schemas.openxmlformats.org/officeDocument/2006/relationships/hyperlink" Target="consultantplus://offline/ref=6CE049F5DC23C8FECAAA43E48537996286A729DAFCB03CA7F1F8D2AE5BE3B3EEADB4B7F535FE9B9B5D0600E4E32EFEF6602A97B9CFDFA406XAT6M" TargetMode="External"/><Relationship Id="rId598" Type="http://schemas.openxmlformats.org/officeDocument/2006/relationships/hyperlink" Target="consultantplus://offline/ref=6CE049F5DC23C8FECAAA43E48537996284A52CD9F4B53CA7F1F8D2AE5BE3B3EEADB4B7F53EAACADD0F0056B3B97BFBEA643495XBT1M" TargetMode="External"/><Relationship Id="rId819" Type="http://schemas.openxmlformats.org/officeDocument/2006/relationships/image" Target="media/image69.wmf"/><Relationship Id="rId1004" Type="http://schemas.openxmlformats.org/officeDocument/2006/relationships/image" Target="media/image183.wmf"/><Relationship Id="rId1211" Type="http://schemas.openxmlformats.org/officeDocument/2006/relationships/hyperlink" Target="consultantplus://offline/ref=6CE049F5DC23C8FECAAA43E48537996287A328DCF4B03CA7F1F8D2AE5BE3B3EEADB4B7F535FE98915B0600E4E32EFEF6602A97B9CFDFA406XAT6M" TargetMode="External"/><Relationship Id="rId1656" Type="http://schemas.openxmlformats.org/officeDocument/2006/relationships/image" Target="media/image372.wmf"/><Relationship Id="rId1863" Type="http://schemas.openxmlformats.org/officeDocument/2006/relationships/hyperlink" Target="consultantplus://offline/ref=6CE049F5DC23C8FECAAA43E4853799628DA529D0F4BE61ADF9A1DEAC5CECECEBAAA5B7F633E09B91440F54B7XAT7M" TargetMode="External"/><Relationship Id="rId220" Type="http://schemas.openxmlformats.org/officeDocument/2006/relationships/hyperlink" Target="consultantplus://offline/ref=6CE049F5DC23C8FECAAA43E48537996287A329DEF5BD3CA7F1F8D2AE5BE3B3EEADB4B7F535FE9B9D590600E4E32EFEF6602A97B9CFDFA406XAT6M" TargetMode="External"/><Relationship Id="rId458" Type="http://schemas.openxmlformats.org/officeDocument/2006/relationships/image" Target="media/image12.wmf"/><Relationship Id="rId665" Type="http://schemas.openxmlformats.org/officeDocument/2006/relationships/hyperlink" Target="consultantplus://offline/ref=6CE049F5DC23C8FECAAA43E48537996284A42DDEF6B43CA7F1F8D2AE5BE3B3EEADB4B7F532FE90CD0B4901B8A57DEDF46E2A95B1D3XDTDM" TargetMode="External"/><Relationship Id="rId872" Type="http://schemas.openxmlformats.org/officeDocument/2006/relationships/hyperlink" Target="consultantplus://offline/ref=6CE049F5DC23C8FECAAA43E48537996286A02BD0F4BD3CA7F1F8D2AE5BE3B3EEADB4B7F535FE9A905A0600E4E32EFEF6602A97B9CFDFA406XAT6M" TargetMode="External"/><Relationship Id="rId1088" Type="http://schemas.openxmlformats.org/officeDocument/2006/relationships/image" Target="media/image234.wmf"/><Relationship Id="rId1295" Type="http://schemas.openxmlformats.org/officeDocument/2006/relationships/hyperlink" Target="consultantplus://offline/ref=6CE049F5DC23C8FECAAA43E48537996284A02AD8F1B03CA7F1F8D2AE5BE3B3EEADB4B7F535FE9F985A0600E4E32EFEF6602A97B9CFDFA406XAT6M" TargetMode="External"/><Relationship Id="rId1309" Type="http://schemas.openxmlformats.org/officeDocument/2006/relationships/hyperlink" Target="consultantplus://offline/ref=6CE049F5DC23C8FECAAA43E48537996286A628D1FCB73CA7F1F8D2AE5BE3B3EEADB4B7F535FE9B9D5D0600E4E32EFEF6602A97B9CFDFA406XAT6M" TargetMode="External"/><Relationship Id="rId1516" Type="http://schemas.openxmlformats.org/officeDocument/2006/relationships/hyperlink" Target="consultantplus://offline/ref=6CE049F5DC23C8FECAAA43E48537996284A028D0F6B43CA7F1F8D2AE5BE3B3EEADB4B7F535FE9B9B5C0600E4E32EFEF6602A97B9CFDFA406XAT6M" TargetMode="External"/><Relationship Id="rId1723" Type="http://schemas.openxmlformats.org/officeDocument/2006/relationships/hyperlink" Target="consultantplus://offline/ref=6CE049F5DC23C8FECAAA43E48537996284A028D0F6B43CA7F1F8D2AE5BE3B3EEADB4B7F535FE9A9B5F0600E4E32EFEF6602A97B9CFDFA406XAT6M" TargetMode="External"/><Relationship Id="rId15" Type="http://schemas.openxmlformats.org/officeDocument/2006/relationships/hyperlink" Target="consultantplus://offline/ref=6CE049F5DC23C8FECAAA43E48537996284A52BDCFDB13CA7F1F8D2AE5BE3B3EEADB4B7F535FE9A995C0600E4E32EFEF6602A97B9CFDFA406XAT6M" TargetMode="External"/><Relationship Id="rId318" Type="http://schemas.openxmlformats.org/officeDocument/2006/relationships/hyperlink" Target="consultantplus://offline/ref=6CE049F5DC23C8FECAAA43E48537996287AA2ED1F7B63CA7F1F8D2AE5BE3B3EEADB4B7F535FE9B995D0600E4E32EFEF6602A97B9CFDFA406XAT6M" TargetMode="External"/><Relationship Id="rId525" Type="http://schemas.openxmlformats.org/officeDocument/2006/relationships/hyperlink" Target="consultantplus://offline/ref=6CE049F5DC23C8FECAAA43E48537996286A729D8F6B63CA7F1F8D2AE5BE3B3EEADB4B7F535FE9B9B520600E4E32EFEF6602A97B9CFDFA406XAT6M" TargetMode="External"/><Relationship Id="rId732" Type="http://schemas.openxmlformats.org/officeDocument/2006/relationships/hyperlink" Target="consultantplus://offline/ref=6CE049F5DC23C8FECAAA43E48537996284A62FDDF5B53CA7F1F8D2AE5BE3B3EEADB4B7F535FE9B98520600E4E32EFEF6602A97B9CFDFA406XAT6M" TargetMode="External"/><Relationship Id="rId1155" Type="http://schemas.openxmlformats.org/officeDocument/2006/relationships/hyperlink" Target="consultantplus://offline/ref=6CE049F5DC23C8FECAAA43E48537996286A128DEF7B43CA7F1F8D2AE5BE3B3EEADB4B7F535FE9A9E5F0600E4E32EFEF6602A97B9CFDFA406XAT6M" TargetMode="External"/><Relationship Id="rId1362" Type="http://schemas.openxmlformats.org/officeDocument/2006/relationships/hyperlink" Target="consultantplus://offline/ref=6CE049F5DC23C8FECAAA43E48537996284A02AD8F1B03CA7F1F8D2AE5BE3B3EEADB4B7F535FE93985B0600E4E32EFEF6602A97B9CFDFA406XAT6M" TargetMode="External"/><Relationship Id="rId99" Type="http://schemas.openxmlformats.org/officeDocument/2006/relationships/hyperlink" Target="consultantplus://offline/ref=6CE049F5DC23C8FECAAA43E48537996287A02FDEF5B13CA7F1F8D2AE5BE3B3EEADB4B7F535FE9A995F0600E4E32EFEF6602A97B9CFDFA406XAT6M" TargetMode="External"/><Relationship Id="rId164" Type="http://schemas.openxmlformats.org/officeDocument/2006/relationships/hyperlink" Target="consultantplus://offline/ref=6CE049F5DC23C8FECAAA43E48537996284A62FDDF4B43CA7F1F8D2AE5BE3B3EEADB4B7F535FE9B9D580600E4E32EFEF6602A97B9CFDFA406XAT6M" TargetMode="External"/><Relationship Id="rId371" Type="http://schemas.openxmlformats.org/officeDocument/2006/relationships/hyperlink" Target="consultantplus://offline/ref=6CE049F5DC23C8FECAAA43E48537996286A729DAFCB03CA7F1F8D2AE5BE3B3EEADB4B7F731F5CFC81E5859B7A165F3FC783697B3XDT1M" TargetMode="External"/><Relationship Id="rId1015" Type="http://schemas.openxmlformats.org/officeDocument/2006/relationships/image" Target="media/image190.wmf"/><Relationship Id="rId1222" Type="http://schemas.openxmlformats.org/officeDocument/2006/relationships/hyperlink" Target="consultantplus://offline/ref=6CE049F5DC23C8FECAAA43E48537996287A328DCF4B03CA7F1F8D2AE5BE3B3EEADB4B7F535FE9F9C530600E4E32EFEF6602A97B9CFDFA406XAT6M" TargetMode="External"/><Relationship Id="rId1667" Type="http://schemas.openxmlformats.org/officeDocument/2006/relationships/image" Target="media/image381.wmf"/><Relationship Id="rId1874" Type="http://schemas.openxmlformats.org/officeDocument/2006/relationships/hyperlink" Target="consultantplus://offline/ref=6CE049F5DC23C8FECAAA43E48537996284A02ED8FDBC3CA7F1F8D2AE5BE3B3EEADB4B7F535FE9B98580600E4E32EFEF6602A97B9CFDFA406XAT6M" TargetMode="External"/><Relationship Id="rId469" Type="http://schemas.openxmlformats.org/officeDocument/2006/relationships/hyperlink" Target="consultantplus://offline/ref=6CE049F5DC23C8FECAAA43E48537996286A62DDCFCB43CA7F1F8D2AE5BE3B3EEADB4B7F535FE9B9D580600E4E32EFEF6602A97B9CFDFA406XAT6M" TargetMode="External"/><Relationship Id="rId676" Type="http://schemas.openxmlformats.org/officeDocument/2006/relationships/hyperlink" Target="consultantplus://offline/ref=6CE049F5DC23C8FECAAA43E48537996284A62FDDF4B43CA7F1F8D2AE5BE3B3EEADB4B7F535FE9A9E520600E4E32EFEF6602A97B9CFDFA406XAT6M" TargetMode="External"/><Relationship Id="rId883" Type="http://schemas.openxmlformats.org/officeDocument/2006/relationships/hyperlink" Target="consultantplus://offline/ref=6CE049F5DC23C8FECAAA43E48537996286A02BD0F4BD3CA7F1F8D2AE5BE3B3EEADB4B7F535FE9A905E0600E4E32EFEF6602A97B9CFDFA406XAT6M" TargetMode="External"/><Relationship Id="rId1099" Type="http://schemas.openxmlformats.org/officeDocument/2006/relationships/hyperlink" Target="consultantplus://offline/ref=6CE049F5DC23C8FECAAA43E48537996287A227DFF4B43CA7F1F8D2AE5BE3B3EEADB4B7F535FF9E9A530600E4E32EFEF6602A97B9CFDFA406XAT6M" TargetMode="External"/><Relationship Id="rId1527" Type="http://schemas.openxmlformats.org/officeDocument/2006/relationships/image" Target="media/image256.wmf"/><Relationship Id="rId1734" Type="http://schemas.openxmlformats.org/officeDocument/2006/relationships/hyperlink" Target="consultantplus://offline/ref=6CE049F5DC23C8FECAAA43E48537996284A028D0F6B43CA7F1F8D2AE5BE3B3EEADB4B7F535FE9B98580600E4E32EFEF6602A97B9CFDFA406XAT6M" TargetMode="External"/><Relationship Id="rId26" Type="http://schemas.openxmlformats.org/officeDocument/2006/relationships/hyperlink" Target="consultantplus://offline/ref=6CE049F5DC23C8FECAAA43E48537996287A227DCF1BD3CA7F1F8D2AE5BE3B3EEADB4B7F535FE9B985F0600E4E32EFEF6602A97B9CFDFA406XAT6M" TargetMode="External"/><Relationship Id="rId231" Type="http://schemas.openxmlformats.org/officeDocument/2006/relationships/hyperlink" Target="consultantplus://offline/ref=6CE049F5DC23C8FECAAA43E48537996286A626DBFDB03CA7F1F8D2AE5BE3B3EEADB4B7F535FE9B9E5F0600E4E32EFEF6602A97B9CFDFA406XAT6M" TargetMode="External"/><Relationship Id="rId329" Type="http://schemas.openxmlformats.org/officeDocument/2006/relationships/hyperlink" Target="consultantplus://offline/ref=6CE049F5DC23C8FECAAA43E48537996287AA2ED1F7B63CA7F1F8D2AE5BE3B3EEADB4B7F535FE9B985E0600E4E32EFEF6602A97B9CFDFA406XAT6M" TargetMode="External"/><Relationship Id="rId536" Type="http://schemas.openxmlformats.org/officeDocument/2006/relationships/hyperlink" Target="consultantplus://offline/ref=6CE049F5DC23C8FECAAA43E48537996286A628DCF2B63CA7F1F8D2AE5BE3B3EEADB4B7F635F693920E5C10E0AA79F5EA663C89B3D1DFXAT4M" TargetMode="External"/><Relationship Id="rId1166" Type="http://schemas.openxmlformats.org/officeDocument/2006/relationships/hyperlink" Target="consultantplus://offline/ref=6CE049F5DC23C8FECAAA43E48537996286A32BDDF7B23CA7F1F8D2AE5BE3B3EEADB4B7F535FE9999590600E4E32EFEF6602A97B9CFDFA406XAT6M" TargetMode="External"/><Relationship Id="rId1373" Type="http://schemas.openxmlformats.org/officeDocument/2006/relationships/hyperlink" Target="consultantplus://offline/ref=6CE049F5DC23C8FECAAA43E48537996284A02AD8F1B03CA7F1F8D2AE5BE3B3EEADB4B7F535FE939A5F0600E4E32EFEF6602A97B9CFDFA406XAT6M" TargetMode="External"/><Relationship Id="rId175" Type="http://schemas.openxmlformats.org/officeDocument/2006/relationships/hyperlink" Target="consultantplus://offline/ref=6CE049F5DC23C8FECAAA43E48537996286A229D0F3B43CA7F1F8D2AE5BE3B3EEADB4B7F535FE9B9F580600E4E32EFEF6602A97B9CFDFA406XAT6M" TargetMode="External"/><Relationship Id="rId743" Type="http://schemas.openxmlformats.org/officeDocument/2006/relationships/hyperlink" Target="consultantplus://offline/ref=6CE049F5DC23C8FECAAA43E48537996286A628DDF6B33CA7F1F8D2AE5BE3B3EEADB4B7F535FE9B9C5F0600E4E32EFEF6602A97B9CFDFA406XAT6M" TargetMode="External"/><Relationship Id="rId950" Type="http://schemas.openxmlformats.org/officeDocument/2006/relationships/image" Target="media/image151.wmf"/><Relationship Id="rId1026" Type="http://schemas.openxmlformats.org/officeDocument/2006/relationships/image" Target="media/image195.wmf"/><Relationship Id="rId1580" Type="http://schemas.openxmlformats.org/officeDocument/2006/relationships/hyperlink" Target="consultantplus://offline/ref=6CE049F5DC23C8FECAAA43E48537996286A628D1FCB73CA7F1F8D2AE5BE3B3EEADB4B7F535FE9B9D5D0600E4E32EFEF6602A97B9CFDFA406XAT6M" TargetMode="External"/><Relationship Id="rId1678" Type="http://schemas.openxmlformats.org/officeDocument/2006/relationships/image" Target="media/image390.wmf"/><Relationship Id="rId1801" Type="http://schemas.openxmlformats.org/officeDocument/2006/relationships/image" Target="media/image497.wmf"/><Relationship Id="rId382" Type="http://schemas.openxmlformats.org/officeDocument/2006/relationships/hyperlink" Target="consultantplus://offline/ref=6CE049F5DC23C8FECAAA43E48537996287A02FDEF5B13CA7F1F8D2AE5BE3B3EEADB4B7F535FE9A9B5F0600E4E32EFEF6602A97B9CFDFA406XAT6M" TargetMode="External"/><Relationship Id="rId603" Type="http://schemas.openxmlformats.org/officeDocument/2006/relationships/hyperlink" Target="consultantplus://offline/ref=6CE049F5DC23C8FECAAA43E48537996287AA2DDEF7B23CA7F1F8D2AE5BE3B3EEADB4B7F535FE9B9A5D0600E4E32EFEF6602A97B9CFDFA406XAT6M" TargetMode="External"/><Relationship Id="rId687" Type="http://schemas.openxmlformats.org/officeDocument/2006/relationships/hyperlink" Target="consultantplus://offline/ref=6CE049F5DC23C8FECAAA43E48537996286A32CDBF7BD3CA7F1F8D2AE5BE3B3EEADB4B7F535FE9A9D5F0600E4E32EFEF6602A97B9CFDFA406XAT6M" TargetMode="External"/><Relationship Id="rId810" Type="http://schemas.openxmlformats.org/officeDocument/2006/relationships/image" Target="media/image62.wmf"/><Relationship Id="rId908" Type="http://schemas.openxmlformats.org/officeDocument/2006/relationships/image" Target="media/image130.wmf"/><Relationship Id="rId1233" Type="http://schemas.openxmlformats.org/officeDocument/2006/relationships/hyperlink" Target="consultantplus://offline/ref=6CE049F5DC23C8FECAAA43E48537996286A32CD8F6B23CA7F1F8D2AE5BE3B3EEADB4B7F535FF999B580600E4E32EFEF6602A97B9CFDFA406XAT6M" TargetMode="External"/><Relationship Id="rId1440" Type="http://schemas.openxmlformats.org/officeDocument/2006/relationships/hyperlink" Target="consultantplus://offline/ref=6CE049F5DC23C8FECAAA43E48537996284A02AD8F1B03CA7F1F8D2AE5BE3B3EEADB4B7F034FB90CD0B4901B8A57DEDF46E2A95B1D3XDTDM" TargetMode="External"/><Relationship Id="rId1538" Type="http://schemas.openxmlformats.org/officeDocument/2006/relationships/image" Target="media/image266.wmf"/><Relationship Id="rId242" Type="http://schemas.openxmlformats.org/officeDocument/2006/relationships/hyperlink" Target="consultantplus://offline/ref=6CE049F5DC23C8FECAAA43E48537996286A72ED9F7B63CA7F1F8D2AE5BE3B3EEADB4B7F535FE9B9B530600E4E32EFEF6602A97B9CFDFA406XAT6M" TargetMode="External"/><Relationship Id="rId894" Type="http://schemas.openxmlformats.org/officeDocument/2006/relationships/hyperlink" Target="consultantplus://offline/ref=6CE049F5DC23C8FECAAA43E48537996286A22EDDF5B33CA7F1F8D2AE5BE3B3EEADB4B7F535FE9A99580600E4E32EFEF6602A97B9CFDFA406XAT6M" TargetMode="External"/><Relationship Id="rId1177" Type="http://schemas.openxmlformats.org/officeDocument/2006/relationships/hyperlink" Target="consultantplus://offline/ref=6CE049F5DC23C8FECAAA43E48537996286A32BDDF7B23CA7F1F8D2AE5BE3B3EEADB4B7F535FE99995C0600E4E32EFEF6602A97B9CFDFA406XAT6M" TargetMode="External"/><Relationship Id="rId1300" Type="http://schemas.openxmlformats.org/officeDocument/2006/relationships/hyperlink" Target="consultantplus://offline/ref=6CE049F5DC23C8FECAAA43E48537996284A02AD8F1B03CA7F1F8D2AE5BE3B3EEADB4B7F535FE9F985F0600E4E32EFEF6602A97B9CFDFA406XAT6M" TargetMode="External"/><Relationship Id="rId1745" Type="http://schemas.openxmlformats.org/officeDocument/2006/relationships/hyperlink" Target="consultantplus://offline/ref=6CE049F5DC23C8FECAAA43E48537996286A729DAFCB03CA7F1F8D2AE5BE3B3EEADB4B7F535FE9B9B5D0600E4E32EFEF6602A97B9CFDFA406XAT6M" TargetMode="External"/><Relationship Id="rId37" Type="http://schemas.openxmlformats.org/officeDocument/2006/relationships/hyperlink" Target="consultantplus://offline/ref=6CE049F5DC23C8FECAAA43E48537996287AA2ED1F7B63CA7F1F8D2AE5BE3B3EEADB4B7F535FE9B995F0600E4E32EFEF6602A97B9CFDFA406XAT6M" TargetMode="External"/><Relationship Id="rId102" Type="http://schemas.openxmlformats.org/officeDocument/2006/relationships/hyperlink" Target="consultantplus://offline/ref=6CE049F5DC23C8FECAAA43E48537996287AA2ED1F7B63CA7F1F8D2AE5BE3B3EEADB4B7F535FE9B995F0600E4E32EFEF6602A97B9CFDFA406XAT6M" TargetMode="External"/><Relationship Id="rId547" Type="http://schemas.openxmlformats.org/officeDocument/2006/relationships/hyperlink" Target="consultantplus://offline/ref=6CE049F5DC23C8FECAAA43E48537996287A226DDF5B13CA7F1F8D2AE5BE3B3EEADB4B7F535FE9A9D5A0600E4E32EFEF6602A97B9CFDFA406XAT6M" TargetMode="External"/><Relationship Id="rId754" Type="http://schemas.openxmlformats.org/officeDocument/2006/relationships/hyperlink" Target="consultantplus://offline/ref=6CE049F5DC23C8FECAAA43E48537996286A628DDF6B33CA7F1F8D2AE5BE3B3EEADB4B7F535FE9B9F590600E4E32EFEF6602A97B9CFDFA406XAT6M" TargetMode="External"/><Relationship Id="rId961" Type="http://schemas.openxmlformats.org/officeDocument/2006/relationships/image" Target="media/image158.wmf"/><Relationship Id="rId1384" Type="http://schemas.openxmlformats.org/officeDocument/2006/relationships/hyperlink" Target="consultantplus://offline/ref=6CE049F5DC23C8FECAAA43E48537996284A02AD8F1B03CA7F1F8D2AE5BE3B3EEADB4B7F535FE9C98530600E4E32EFEF6602A97B9CFDFA406XAT6M" TargetMode="External"/><Relationship Id="rId1591" Type="http://schemas.openxmlformats.org/officeDocument/2006/relationships/image" Target="media/image316.wmf"/><Relationship Id="rId1605" Type="http://schemas.openxmlformats.org/officeDocument/2006/relationships/image" Target="media/image327.wmf"/><Relationship Id="rId1689" Type="http://schemas.openxmlformats.org/officeDocument/2006/relationships/image" Target="media/image398.wmf"/><Relationship Id="rId1812" Type="http://schemas.openxmlformats.org/officeDocument/2006/relationships/image" Target="media/image506.wmf"/><Relationship Id="rId90" Type="http://schemas.openxmlformats.org/officeDocument/2006/relationships/hyperlink" Target="consultantplus://offline/ref=6CE049F5DC23C8FECAAA43E48537996287A229DBFCBC3CA7F1F8D2AE5BE3B3EEADB4B7F535FE9B9C520600E4E32EFEF6602A97B9CFDFA406XAT6M" TargetMode="External"/><Relationship Id="rId186" Type="http://schemas.openxmlformats.org/officeDocument/2006/relationships/hyperlink" Target="consultantplus://offline/ref=6CE049F5DC23C8FECAAA43E48537996286A628DDF2B73CA7F1F8D2AE5BE3B3EEADB4B7F535FE9B9F5D0600E4E32EFEF6602A97B9CFDFA406XAT6M" TargetMode="External"/><Relationship Id="rId393" Type="http://schemas.openxmlformats.org/officeDocument/2006/relationships/hyperlink" Target="consultantplus://offline/ref=6CE049F5DC23C8FECAAA43E48537996286A628DCF2B63CA7F1F8D2AE5BE3B3EEADB4B7F535FF9B995B0600E4E32EFEF6602A97B9CFDFA406XAT6M" TargetMode="External"/><Relationship Id="rId407" Type="http://schemas.openxmlformats.org/officeDocument/2006/relationships/hyperlink" Target="consultantplus://offline/ref=6CE049F5DC23C8FECAAA43E48537996286A328DEF7BD3CA7F1F8D2AE5BE3B3EEADB4B7F535FE9B91530600E4E32EFEF6602A97B9CFDFA406XAT6M" TargetMode="External"/><Relationship Id="rId614" Type="http://schemas.openxmlformats.org/officeDocument/2006/relationships/hyperlink" Target="consultantplus://offline/ref=6CE049F5DC23C8FECAAA43E48537996287AA2DDEF7B23CA7F1F8D2AE5BE3B3EEADB4B7F535FE9B9D5F0600E4E32EFEF6602A97B9CFDFA406XAT6M" TargetMode="External"/><Relationship Id="rId821" Type="http://schemas.openxmlformats.org/officeDocument/2006/relationships/image" Target="media/image71.wmf"/><Relationship Id="rId1037" Type="http://schemas.openxmlformats.org/officeDocument/2006/relationships/hyperlink" Target="consultantplus://offline/ref=6CE049F5DC23C8FECAAA43E48537996286A22EDDF5B33CA7F1F8D2AE5BE3B3EEADB4B7F535FE9A9C5D0600E4E32EFEF6602A97B9CFDFA406XAT6M" TargetMode="External"/><Relationship Id="rId1244" Type="http://schemas.openxmlformats.org/officeDocument/2006/relationships/hyperlink" Target="consultantplus://offline/ref=6CE049F5DC23C8FECAAA43E48537996284A62FDDF4B43CA7F1F8D2AE5BE3B3EEADB4B7F535FE999C520600E4E32EFEF6602A97B9CFDFA406XAT6M" TargetMode="External"/><Relationship Id="rId1451" Type="http://schemas.openxmlformats.org/officeDocument/2006/relationships/hyperlink" Target="consultantplus://offline/ref=6CE049F5DC23C8FECAAA43E48537996286A62DD9F1B63CA7F1F8D2AE5BE3B3EEBFB4EFF937F88599521356B5A5X7TBM" TargetMode="External"/><Relationship Id="rId253" Type="http://schemas.openxmlformats.org/officeDocument/2006/relationships/hyperlink" Target="consultantplus://offline/ref=6CE049F5DC23C8FECAAA43E48537996286A72ED9F7B63CA7F1F8D2AE5BE3B3EEADB4B7F535FE9B9A5B0600E4E32EFEF6602A97B9CFDFA406XAT6M" TargetMode="External"/><Relationship Id="rId460" Type="http://schemas.openxmlformats.org/officeDocument/2006/relationships/image" Target="media/image14.wmf"/><Relationship Id="rId698" Type="http://schemas.openxmlformats.org/officeDocument/2006/relationships/hyperlink" Target="consultantplus://offline/ref=6CE049F5DC23C8FECAAA43E48537996286A628DDF6B33CA7F1F8D2AE5BE3B3EEADB4B7F535FE9B9B5C0600E4E32EFEF6602A97B9CFDFA406XAT6M" TargetMode="External"/><Relationship Id="rId919" Type="http://schemas.openxmlformats.org/officeDocument/2006/relationships/image" Target="media/image135.wmf"/><Relationship Id="rId1090" Type="http://schemas.openxmlformats.org/officeDocument/2006/relationships/image" Target="media/image236.wmf"/><Relationship Id="rId1104" Type="http://schemas.openxmlformats.org/officeDocument/2006/relationships/hyperlink" Target="consultantplus://offline/ref=6CE049F5DC23C8FECAAA43E48537996286A72ED1F4B63CA7F1F8D2AE5BE3B3EEADB4B7F535FE9B9A5A0600E4E32EFEF6602A97B9CFDFA406XAT6M" TargetMode="External"/><Relationship Id="rId1311" Type="http://schemas.openxmlformats.org/officeDocument/2006/relationships/hyperlink" Target="consultantplus://offline/ref=6CE049F5DC23C8FECAAA43E48537996284A02AD8F1B03CA7F1F8D2AE5BE3B3EEADB4B7F535FE9F9A5D0600E4E32EFEF6602A97B9CFDFA406XAT6M" TargetMode="External"/><Relationship Id="rId1549" Type="http://schemas.openxmlformats.org/officeDocument/2006/relationships/image" Target="media/image277.wmf"/><Relationship Id="rId1756" Type="http://schemas.openxmlformats.org/officeDocument/2006/relationships/image" Target="media/image456.wmf"/><Relationship Id="rId48" Type="http://schemas.openxmlformats.org/officeDocument/2006/relationships/hyperlink" Target="consultantplus://offline/ref=6CE049F5DC23C8FECAAA43E48537996286A32BDDF7B23CA7F1F8D2AE5BE3B3EEADB4B7F535FE9A915D0600E4E32EFEF6602A97B9CFDFA406XAT6M" TargetMode="External"/><Relationship Id="rId113" Type="http://schemas.openxmlformats.org/officeDocument/2006/relationships/hyperlink" Target="consultantplus://offline/ref=6CE049F5DC23C8FECAAA43E48537996286A028DCFCB13CA7F1F8D2AE5BE3B3EEADB4B7F535FE9B98520600E4E32EFEF6602A97B9CFDFA406XAT6M" TargetMode="External"/><Relationship Id="rId320" Type="http://schemas.openxmlformats.org/officeDocument/2006/relationships/hyperlink" Target="consultantplus://offline/ref=6CE049F5DC23C8FECAAA43E48537996286A72ED9F7B63CA7F1F8D2AE5BE3B3EEADB4B7F535FE9B9C5C0600E4E32EFEF6602A97B9CFDFA406XAT6M" TargetMode="External"/><Relationship Id="rId558" Type="http://schemas.openxmlformats.org/officeDocument/2006/relationships/hyperlink" Target="consultantplus://offline/ref=6CE049F5DC23C8FECAAA43E48537996284A62FDDF4B43CA7F1F8D2AE5BE3B3EEADB4B7F535FE9B905E0600E4E32EFEF6602A97B9CFDFA406XAT6M" TargetMode="External"/><Relationship Id="rId765" Type="http://schemas.openxmlformats.org/officeDocument/2006/relationships/hyperlink" Target="consultantplus://offline/ref=6CE049F5DC23C8FECAAA43E48537996284A62FDDF4B43CA7F1F8D2AE5BE3B3EEADB4B7F535FE999D520600E4E32EFEF6602A97B9CFDFA406XAT6M" TargetMode="External"/><Relationship Id="rId972" Type="http://schemas.openxmlformats.org/officeDocument/2006/relationships/hyperlink" Target="consultantplus://offline/ref=6CE049F5DC23C8FECAAA43E48537996286A22EDDF5B33CA7F1F8D2AE5BE3B3EEADB4B7F535FE9A9A5A0600E4E32EFEF6602A97B9CFDFA406XAT6M" TargetMode="External"/><Relationship Id="rId1188" Type="http://schemas.openxmlformats.org/officeDocument/2006/relationships/hyperlink" Target="consultantplus://offline/ref=6CE049F5DC23C8FECAAA43E48537996287A328DCF4B03CA7F1F8D2AE5BE3B3EEADB4B7F535FE999F590600E4E32EFEF6602A97B9CFDFA406XAT6M" TargetMode="External"/><Relationship Id="rId1395" Type="http://schemas.openxmlformats.org/officeDocument/2006/relationships/hyperlink" Target="consultantplus://offline/ref=6CE049F5DC23C8FECAAA43E48537996284A02AD8F1B03CA7F1F8D2AE5BE3B3EEADB4B7F535FE9C9A590600E4E32EFEF6602A97B9CFDFA406XAT6M" TargetMode="External"/><Relationship Id="rId1409" Type="http://schemas.openxmlformats.org/officeDocument/2006/relationships/hyperlink" Target="consultantplus://offline/ref=6CE049F5DC23C8FECAAA43E48537996284A02AD8F1B03CA7F1F8D2AE5BE3B3EEADB4B7F535FE92985E0600E4E32EFEF6602A97B9CFDFA406XAT6M" TargetMode="External"/><Relationship Id="rId1616" Type="http://schemas.openxmlformats.org/officeDocument/2006/relationships/image" Target="media/image338.wmf"/><Relationship Id="rId1823" Type="http://schemas.openxmlformats.org/officeDocument/2006/relationships/hyperlink" Target="consultantplus://offline/ref=6CE049F5DC23C8FECAAA43E48537996286A729DAFCB03CA7F1F8D2AE5BE3B3EEADB4B7F535FE9B9B5D0600E4E32EFEF6602A97B9CFDFA406XAT6M" TargetMode="External"/><Relationship Id="rId197" Type="http://schemas.openxmlformats.org/officeDocument/2006/relationships/hyperlink" Target="consultantplus://offline/ref=6CE049F5DC23C8FECAAA43E48537996286A628DCF2B63CA7F1F8D2AE5BE3B3EEADB4B7F535FF98995E0600E4E32EFEF6602A97B9CFDFA406XAT6M" TargetMode="External"/><Relationship Id="rId418" Type="http://schemas.openxmlformats.org/officeDocument/2006/relationships/hyperlink" Target="consultantplus://offline/ref=6CE049F5DC23C8FECAAA43E48537996286A22ED1FCB03CA7F1F8D2AE5BE3B3EEADB4B7F535FE9B9D5A0600E4E32EFEF6602A97B9CFDFA406XAT6M" TargetMode="External"/><Relationship Id="rId625" Type="http://schemas.openxmlformats.org/officeDocument/2006/relationships/hyperlink" Target="consultantplus://offline/ref=6CE049F5DC23C8FECAAA43E48537996286A32CDBF7BD3CA7F1F8D2AE5BE3B3EEADB4B7F535FE9A9B5F0600E4E32EFEF6602A97B9CFDFA406XAT6M" TargetMode="External"/><Relationship Id="rId832" Type="http://schemas.openxmlformats.org/officeDocument/2006/relationships/image" Target="media/image82.wmf"/><Relationship Id="rId1048" Type="http://schemas.openxmlformats.org/officeDocument/2006/relationships/image" Target="media/image209.wmf"/><Relationship Id="rId1255" Type="http://schemas.openxmlformats.org/officeDocument/2006/relationships/hyperlink" Target="consultantplus://offline/ref=6CE049F5DC23C8FECAAA43E48537996286A326DDFDB53CA7F1F8D2AE5BE3B3EEADB4B7F535FE9B995D0600E4E32EFEF6602A97B9CFDFA406XAT6M" TargetMode="External"/><Relationship Id="rId1462" Type="http://schemas.openxmlformats.org/officeDocument/2006/relationships/hyperlink" Target="consultantplus://offline/ref=6CE049F5DC23C8FECAAA43E48537996286A02ADBFDB63CA7F1F8D2AE5BE3B3EEADB4B7F535FE9B98580600E4E32EFEF6602A97B9CFDFA406XAT6M" TargetMode="External"/><Relationship Id="rId264" Type="http://schemas.openxmlformats.org/officeDocument/2006/relationships/hyperlink" Target="consultantplus://offline/ref=6CE049F5DC23C8FECAAA43E48537996286A72ED9F7B63CA7F1F8D2AE5BE3B3EEADB4B7F535FE9B9A530600E4E32EFEF6602A97B9CFDFA406XAT6M" TargetMode="External"/><Relationship Id="rId471" Type="http://schemas.openxmlformats.org/officeDocument/2006/relationships/hyperlink" Target="consultantplus://offline/ref=6CE049F5DC23C8FECAAA43E48537996286A628DCF2B63CA7F1F8D2AE5BE3B3EEADB4B7F535FF999D5A0600E4E32EFEF6602A97B9CFDFA406XAT6M" TargetMode="External"/><Relationship Id="rId1115" Type="http://schemas.openxmlformats.org/officeDocument/2006/relationships/hyperlink" Target="consultantplus://offline/ref=6CE049F5DC23C8FECAAA43E48537996286A02AD9F1B53CA7F1F8D2AE5BE3B3EEADB4B7F535FE9E9F5D0600E4E32EFEF6602A97B9CFDFA406XAT6M" TargetMode="External"/><Relationship Id="rId1322" Type="http://schemas.openxmlformats.org/officeDocument/2006/relationships/hyperlink" Target="consultantplus://offline/ref=6CE049F5DC23C8FECAAA43E48537996284A02AD8F1B03CA7F1F8D2AE5BE3B3EEADB4B7F535FE9F9F580600E4E32EFEF6602A97B9CFDFA406XAT6M" TargetMode="External"/><Relationship Id="rId1767" Type="http://schemas.openxmlformats.org/officeDocument/2006/relationships/hyperlink" Target="consultantplus://offline/ref=6CE049F5DC23C8FECAAA43E48537996284A028D0F6B43CA7F1F8D2AE5BE3B3EEADB4B7F535FE999D580600E4E32EFEF6602A97B9CFDFA406XAT6M" TargetMode="External"/><Relationship Id="rId59" Type="http://schemas.openxmlformats.org/officeDocument/2006/relationships/hyperlink" Target="consultantplus://offline/ref=6CE049F5DC23C8FECAAA43E48537996284A02EDDFDBC3CA7F1F8D2AE5BE3B3EEBFB4EFF937F88599521356B5A5X7TBM" TargetMode="External"/><Relationship Id="rId124" Type="http://schemas.openxmlformats.org/officeDocument/2006/relationships/hyperlink" Target="consultantplus://offline/ref=6CE049F5DC23C8FECAAA43E48537996284A52BDCFDB13CA7F1F8D2AE5BE3B3EEADB4B7F535FE9A985A0600E4E32EFEF6602A97B9CFDFA406XAT6M" TargetMode="External"/><Relationship Id="rId569" Type="http://schemas.openxmlformats.org/officeDocument/2006/relationships/hyperlink" Target="consultantplus://offline/ref=6CE049F5DC23C8FECAAA43E48537996287AA2DDEF7B23CA7F1F8D2AE5BE3B3EEADB4B7F535FE9B9B5B0600E4E32EFEF6602A97B9CFDFA406XAT6M" TargetMode="External"/><Relationship Id="rId776" Type="http://schemas.openxmlformats.org/officeDocument/2006/relationships/hyperlink" Target="consultantplus://offline/ref=6CE049F5DC23C8FECAAA43E48537996286A22EDDF5B33CA7F1F8D2AE5BE3B3EEADB4B7F535FE9B91580600E4E32EFEF6602A97B9CFDFA406XAT6M" TargetMode="External"/><Relationship Id="rId983" Type="http://schemas.openxmlformats.org/officeDocument/2006/relationships/image" Target="media/image171.wmf"/><Relationship Id="rId1199" Type="http://schemas.openxmlformats.org/officeDocument/2006/relationships/hyperlink" Target="consultantplus://offline/ref=6CE049F5DC23C8FECAAA43E48537996287A328DCF4B03CA7F1F8D2AE5BE3B3EEADB4B7F535FE989A5B0600E4E32EFEF6602A97B9CFDFA406XAT6M" TargetMode="External"/><Relationship Id="rId1627" Type="http://schemas.openxmlformats.org/officeDocument/2006/relationships/image" Target="media/image346.wmf"/><Relationship Id="rId1834" Type="http://schemas.openxmlformats.org/officeDocument/2006/relationships/image" Target="media/image525.wmf"/><Relationship Id="rId331" Type="http://schemas.openxmlformats.org/officeDocument/2006/relationships/hyperlink" Target="consultantplus://offline/ref=6CE049F5DC23C8FECAAA43E48537996287AA2ED1F7B63CA7F1F8D2AE5BE3B3EEADB4B7F535FE9B985F0600E4E32EFEF6602A97B9CFDFA406XAT6M" TargetMode="External"/><Relationship Id="rId429" Type="http://schemas.openxmlformats.org/officeDocument/2006/relationships/hyperlink" Target="consultantplus://offline/ref=6CE049F5DC23C8FECAAA43E48537996287A02FDEF5B13CA7F1F8D2AE5BE3B3EEADB4B7F535FE9A9A520600E4E32EFEF6602A97B9CFDFA406XAT6M" TargetMode="External"/><Relationship Id="rId636" Type="http://schemas.openxmlformats.org/officeDocument/2006/relationships/hyperlink" Target="consultantplus://offline/ref=6CE049F5DC23C8FECAAA43E48537996284A62FDDF4B43CA7F1F8D2AE5BE3B3EEADB4B7F535FE9A9B580600E4E32EFEF6602A97B9CFDFA406XAT6M" TargetMode="External"/><Relationship Id="rId1059" Type="http://schemas.openxmlformats.org/officeDocument/2006/relationships/hyperlink" Target="consultantplus://offline/ref=6CE049F5DC23C8FECAAA43E48537996286A628DCF2B63CA7F1F8D2AE5BE3B3EEADB4B7F535FE989E530600E4E32EFEF6602A97B9CFDFA406XAT6M" TargetMode="External"/><Relationship Id="rId1266" Type="http://schemas.openxmlformats.org/officeDocument/2006/relationships/hyperlink" Target="consultantplus://offline/ref=6CE049F5DC23C8FECAAA43E48537996284A02ADBF0B53CA7F1F8D2AE5BE3B3EEADB4B7F63CF5CFC81E5859B7A165F3FC783697B3XDT1M" TargetMode="External"/><Relationship Id="rId1473" Type="http://schemas.openxmlformats.org/officeDocument/2006/relationships/hyperlink" Target="consultantplus://offline/ref=6CE049F5DC23C8FECAAA43E48537996284A026DDF2B13CA7F1F8D2AE5BE3B3EEADB4B7F535FE9A9F5F0600E4E32EFEF6602A97B9CFDFA406XAT6M" TargetMode="External"/><Relationship Id="rId843" Type="http://schemas.openxmlformats.org/officeDocument/2006/relationships/image" Target="media/image92.wmf"/><Relationship Id="rId1126" Type="http://schemas.openxmlformats.org/officeDocument/2006/relationships/hyperlink" Target="consultantplus://offline/ref=6CE049F5DC23C8FECAAA43E48537996286A72ED9F7B63CA7F1F8D2AE5BE3B3EEADB4B7F535FE9F9A5E0600E4E32EFEF6602A97B9CFDFA406XAT6M" TargetMode="External"/><Relationship Id="rId1680" Type="http://schemas.openxmlformats.org/officeDocument/2006/relationships/image" Target="media/image392.wmf"/><Relationship Id="rId1778" Type="http://schemas.openxmlformats.org/officeDocument/2006/relationships/hyperlink" Target="consultantplus://offline/ref=6CE049F5DC23C8FECAAA43E48537996286A729DAFCB03CA7F1F8D2AE5BE3B3EEADB4B7F535FE9B9B5D0600E4E32EFEF6602A97B9CFDFA406XAT6M" TargetMode="External"/><Relationship Id="rId275" Type="http://schemas.openxmlformats.org/officeDocument/2006/relationships/hyperlink" Target="consultantplus://offline/ref=6CE049F5DC23C8FECAAA43E48537996286A72ED9F7B63CA7F1F8D2AE5BE3B3EEADB4B7F535FE9B9D530600E4E32EFEF6602A97B9CFDFA406XAT6M" TargetMode="External"/><Relationship Id="rId482" Type="http://schemas.openxmlformats.org/officeDocument/2006/relationships/image" Target="media/image18.wmf"/><Relationship Id="rId703" Type="http://schemas.openxmlformats.org/officeDocument/2006/relationships/hyperlink" Target="consultantplus://offline/ref=6CE049F5DC23C8FECAAA43E48537996286A028DCFCB13CA7F1F8D2AE5BE3B3EEADB4B7F535FE9B9D5A0600E4E32EFEF6602A97B9CFDFA406XAT6M" TargetMode="External"/><Relationship Id="rId910" Type="http://schemas.openxmlformats.org/officeDocument/2006/relationships/hyperlink" Target="consultantplus://offline/ref=6CE049F5DC23C8FECAAA43E48537996286A628D1FCB73CA7F1F8D2AE5BE3B3EEADB4B7F535FE9B9D5D0600E4E32EFEF6602A97B9CFDFA406XAT6M" TargetMode="External"/><Relationship Id="rId1333" Type="http://schemas.openxmlformats.org/officeDocument/2006/relationships/hyperlink" Target="consultantplus://offline/ref=6CE049F5DC23C8FECAAA43E48537996284A02AD8F1B03CA7F1F8D2AE5BE3B3EEADB4B7F535FE9E985F0600E4E32EFEF6602A97B9CFDFA406XAT6M" TargetMode="External"/><Relationship Id="rId1540" Type="http://schemas.openxmlformats.org/officeDocument/2006/relationships/image" Target="media/image268.wmf"/><Relationship Id="rId1638" Type="http://schemas.openxmlformats.org/officeDocument/2006/relationships/image" Target="media/image356.wmf"/><Relationship Id="rId135" Type="http://schemas.openxmlformats.org/officeDocument/2006/relationships/hyperlink" Target="consultantplus://offline/ref=6CE049F5DC23C8FECAAA43E48537996284A72FDAF6B03CA7F1F8D2AE5BE3B3EEADB4B7F535FE9B98520600E4E32EFEF6602A97B9CFDFA406XAT6M" TargetMode="External"/><Relationship Id="rId342" Type="http://schemas.openxmlformats.org/officeDocument/2006/relationships/hyperlink" Target="consultantplus://offline/ref=6CE049F5DC23C8FECAAA43E48537996287AA2ED1F7B63CA7F1F8D2AE5BE3B3EEADB4B7F535FE9B985C0600E4E32EFEF6602A97B9CFDFA406XAT6M" TargetMode="External"/><Relationship Id="rId787" Type="http://schemas.openxmlformats.org/officeDocument/2006/relationships/image" Target="media/image40.wmf"/><Relationship Id="rId994" Type="http://schemas.openxmlformats.org/officeDocument/2006/relationships/image" Target="media/image178.wmf"/><Relationship Id="rId1400" Type="http://schemas.openxmlformats.org/officeDocument/2006/relationships/hyperlink" Target="consultantplus://offline/ref=6CE049F5DC23C8FECAAA43E48537996284A02AD8F1B03CA7F1F8D2AE5BE3B3EEADB4B7F135F5CFC81E5859B7A165F3FC783697B3XDT1M" TargetMode="External"/><Relationship Id="rId1845" Type="http://schemas.openxmlformats.org/officeDocument/2006/relationships/hyperlink" Target="consultantplus://offline/ref=6CE049F5DC23C8FECAAA43E48537996286A729DAFCB03CA7F1F8D2AE5BE3B3EEADB4B7F535FE9B9B5D0600E4E32EFEF6602A97B9CFDFA406XAT6M" TargetMode="External"/><Relationship Id="rId202" Type="http://schemas.openxmlformats.org/officeDocument/2006/relationships/hyperlink" Target="consultantplus://offline/ref=6CE049F5DC23C8FECAAA43E48537996286A628DDF2B73CA7F1F8D2AE5BE3B3EEADB4B7F535FE9B9F520600E4E32EFEF6602A97B9CFDFA406XAT6M" TargetMode="External"/><Relationship Id="rId647" Type="http://schemas.openxmlformats.org/officeDocument/2006/relationships/hyperlink" Target="consultantplus://offline/ref=6CE049F5DC23C8FECAAA43E48537996284A62FDDF4B43CA7F1F8D2AE5BE3B3EEADB4B7F535FE9A9C580600E4E32EFEF6602A97B9CFDFA406XAT6M" TargetMode="External"/><Relationship Id="rId854" Type="http://schemas.openxmlformats.org/officeDocument/2006/relationships/hyperlink" Target="consultantplus://offline/ref=6CE049F5DC23C8FECAAA43E48537996286A02BD0F4BD3CA7F1F8D2AE5BE3B3EEADB4B7F535FE9A915C0600E4E32EFEF6602A97B9CFDFA406XAT6M" TargetMode="External"/><Relationship Id="rId1277" Type="http://schemas.openxmlformats.org/officeDocument/2006/relationships/hyperlink" Target="consultantplus://offline/ref=6CE049F5DC23C8FECAAA43E48537996284A02ADBF0B53CA7F1F8D2AE5BE3B3EEADB4B7F535FE9B985A0600E4E32EFEF6602A97B9CFDFA406XAT6M" TargetMode="External"/><Relationship Id="rId1484" Type="http://schemas.openxmlformats.org/officeDocument/2006/relationships/hyperlink" Target="consultantplus://offline/ref=6CE049F5DC23C8FECAAA43E48537996286A328DFFCB03CA7F1F8D2AE5BE3B3EEADB4B7F535FF9B9E5E0600E4E32EFEF6602A97B9CFDFA406XAT6M" TargetMode="External"/><Relationship Id="rId1691" Type="http://schemas.openxmlformats.org/officeDocument/2006/relationships/image" Target="media/image400.wmf"/><Relationship Id="rId1705" Type="http://schemas.openxmlformats.org/officeDocument/2006/relationships/image" Target="media/image412.wmf"/><Relationship Id="rId286" Type="http://schemas.openxmlformats.org/officeDocument/2006/relationships/hyperlink" Target="consultantplus://offline/ref=6CE049F5DC23C8FECAAA43E48537996286A628D1FCB73CA7F1F8D2AE5BE3B3EEADB4B7F634F890CD0B4901B8A57DEDF46E2A95B1D3XDTDM" TargetMode="External"/><Relationship Id="rId493" Type="http://schemas.openxmlformats.org/officeDocument/2006/relationships/hyperlink" Target="consultantplus://offline/ref=6CE049F5DC23C8FECAAA43E48537996286A72ED9F7B63CA7F1F8D2AE5BE3B3EEADB4B7F535FE9B9F5E0600E4E32EFEF6602A97B9CFDFA406XAT6M" TargetMode="External"/><Relationship Id="rId507" Type="http://schemas.openxmlformats.org/officeDocument/2006/relationships/hyperlink" Target="consultantplus://offline/ref=6CE049F5DC23C8FECAAA43E48537996287A326D1F7B73CA7F1F8D2AE5BE3B3EEADB4B7F535FE9A9C580600E4E32EFEF6602A97B9CFDFA406XAT6M" TargetMode="External"/><Relationship Id="rId714" Type="http://schemas.openxmlformats.org/officeDocument/2006/relationships/hyperlink" Target="consultantplus://offline/ref=6CE049F5DC23C8FECAAA43E48537996284A629D1F1B43CA7F1F8D2AE5BE3B3EEADB4B7F535FE9B9D5F0600E4E32EFEF6602A97B9CFDFA406XAT6M" TargetMode="External"/><Relationship Id="rId921" Type="http://schemas.openxmlformats.org/officeDocument/2006/relationships/image" Target="media/image137.wmf"/><Relationship Id="rId1137" Type="http://schemas.openxmlformats.org/officeDocument/2006/relationships/image" Target="media/image251.wmf"/><Relationship Id="rId1344" Type="http://schemas.openxmlformats.org/officeDocument/2006/relationships/hyperlink" Target="consultantplus://offline/ref=6CE049F5DC23C8FECAAA43E48537996284A02AD8F1B03CA7F1F8D2AE5BE3B3EEADB4B7F535FE9D9F590600E4E32EFEF6602A97B9CFDFA406XAT6M" TargetMode="External"/><Relationship Id="rId1551" Type="http://schemas.openxmlformats.org/officeDocument/2006/relationships/image" Target="media/image279.wmf"/><Relationship Id="rId1789" Type="http://schemas.openxmlformats.org/officeDocument/2006/relationships/image" Target="media/image486.wmf"/><Relationship Id="rId50" Type="http://schemas.openxmlformats.org/officeDocument/2006/relationships/hyperlink" Target="consultantplus://offline/ref=6CE049F5DC23C8FECAAA43E48537996286A326DDFDB53CA7F1F8D2AE5BE3B3EEADB4B7F535FE9B995F0600E4E32EFEF6602A97B9CFDFA406XAT6M" TargetMode="External"/><Relationship Id="rId146" Type="http://schemas.openxmlformats.org/officeDocument/2006/relationships/hyperlink" Target="consultantplus://offline/ref=6CE049F5DC23C8FECAAA43E48537996286A72ED9F7B63CA7F1F8D2AE5BE3B3EEADB4B7F535FE9B985C0600E4E32EFEF6602A97B9CFDFA406XAT6M" TargetMode="External"/><Relationship Id="rId353" Type="http://schemas.openxmlformats.org/officeDocument/2006/relationships/hyperlink" Target="consultantplus://offline/ref=6CE049F5DC23C8FECAAA43E48537996286A72ED9F7B63CA7F1F8D2AE5BE3B3EEADB4B7F535FE9B9F5A0600E4E32EFEF6602A97B9CFDFA406XAT6M" TargetMode="External"/><Relationship Id="rId560" Type="http://schemas.openxmlformats.org/officeDocument/2006/relationships/hyperlink" Target="consultantplus://offline/ref=6CE049F5DC23C8FECAAA43E48537996286A729DAFCB03CA7F1F8D2AE5BE3B3EEADB4B7F535FE9B9B5D0600E4E32EFEF6602A97B9CFDFA406XAT6M" TargetMode="External"/><Relationship Id="rId798" Type="http://schemas.openxmlformats.org/officeDocument/2006/relationships/image" Target="media/image50.wmf"/><Relationship Id="rId1190" Type="http://schemas.openxmlformats.org/officeDocument/2006/relationships/hyperlink" Target="consultantplus://offline/ref=6CE049F5DC23C8FECAAA43E48537996287A328DCF4B03CA7F1F8D2AE5BE3B3EEADB4B7F535FE999E5E0600E4E32EFEF6602A97B9CFDFA406XAT6M" TargetMode="External"/><Relationship Id="rId1204" Type="http://schemas.openxmlformats.org/officeDocument/2006/relationships/hyperlink" Target="consultantplus://offline/ref=6CE049F5DC23C8FECAAA43E48537996287A328DCF4B03CA7F1F8D2AE5BE3B3EEADB4B7F535FE989F580600E4E32EFEF6602A97B9CFDFA406XAT6M" TargetMode="External"/><Relationship Id="rId1411" Type="http://schemas.openxmlformats.org/officeDocument/2006/relationships/hyperlink" Target="consultantplus://offline/ref=6CE049F5DC23C8FECAAA43E48537996284A02AD8F1B03CA7F1F8D2AE5BE3B3EEADB4B7F233F5CFC81E5859B7A165F3FC783697B3XDT1M" TargetMode="External"/><Relationship Id="rId1649" Type="http://schemas.openxmlformats.org/officeDocument/2006/relationships/image" Target="media/image365.wmf"/><Relationship Id="rId1856" Type="http://schemas.openxmlformats.org/officeDocument/2006/relationships/hyperlink" Target="consultantplus://offline/ref=6CE049F5DC23C8FECAAA43E48537996284A02EDDFDBC3CA7F1F8D2AE5BE3B3EEBFB4EFF937F88599521356B5A5X7TBM" TargetMode="External"/><Relationship Id="rId213" Type="http://schemas.openxmlformats.org/officeDocument/2006/relationships/hyperlink" Target="consultantplus://offline/ref=6CE049F5DC23C8FECAAA43E48537996284AB2BDDF6BC3CA7F1F8D2AE5BE3B3EEADB4B7F535FE9B9A5D0600E4E32EFEF6602A97B9CFDFA406XAT6M" TargetMode="External"/><Relationship Id="rId420" Type="http://schemas.openxmlformats.org/officeDocument/2006/relationships/hyperlink" Target="consultantplus://offline/ref=6CE049F5DC23C8FECAAA43E48537996286A628D1FCB73CA7F1F8D2AE5BE3B3EEADB4B7F535FE9B9D5D0600E4E32EFEF6602A97B9CFDFA406XAT6M" TargetMode="External"/><Relationship Id="rId658" Type="http://schemas.openxmlformats.org/officeDocument/2006/relationships/hyperlink" Target="consultantplus://offline/ref=6CE049F5DC23C8FECAAA43E48537996287A22AD1F3B13CA7F1F8D2AE5BE3B3EEADB4B7F535FE9B9B5C0600E4E32EFEF6602A97B9CFDFA406XAT6M" TargetMode="External"/><Relationship Id="rId865" Type="http://schemas.openxmlformats.org/officeDocument/2006/relationships/image" Target="media/image105.wmf"/><Relationship Id="rId1050" Type="http://schemas.openxmlformats.org/officeDocument/2006/relationships/hyperlink" Target="consultantplus://offline/ref=6CE049F5DC23C8FECAAA43E48537996286A22EDDF5B33CA7F1F8D2AE5BE3B3EEADB4B7F535FE9A9F5E0600E4E32EFEF6602A97B9CFDFA406XAT6M" TargetMode="External"/><Relationship Id="rId1288" Type="http://schemas.openxmlformats.org/officeDocument/2006/relationships/hyperlink" Target="consultantplus://offline/ref=6CE049F5DC23C8FECAAA43E48537996284A02AD8F1B03CA7F1F8D2AE5BE3B3EEADB4B7F535FE98905E0600E4E32EFEF6602A97B9CFDFA406XAT6M" TargetMode="External"/><Relationship Id="rId1495" Type="http://schemas.openxmlformats.org/officeDocument/2006/relationships/hyperlink" Target="consultantplus://offline/ref=6CE049F5DC23C8FECAAA43E48537996284A026DDF2B13CA7F1F8D2AE5BE3B3EEADB4B7F535FE9D9B590600E4E32EFEF6602A97B9CFDFA406XAT6M" TargetMode="External"/><Relationship Id="rId1509" Type="http://schemas.openxmlformats.org/officeDocument/2006/relationships/hyperlink" Target="consultantplus://offline/ref=6CE049F5DC23C8FECAAA43E48537996284A028D0F6B43CA7F1F8D2AE5BE3B3EEADB4B7F535FE9B98530600E4E32EFEF6602A97B9CFDFA406XAT6M" TargetMode="External"/><Relationship Id="rId1716" Type="http://schemas.openxmlformats.org/officeDocument/2006/relationships/image" Target="media/image423.wmf"/><Relationship Id="rId297" Type="http://schemas.openxmlformats.org/officeDocument/2006/relationships/hyperlink" Target="consultantplus://offline/ref=6CE049F5DC23C8FECAAA43E48537996287A328DCF4B03CA7F1F8D2AE5BE3B3EEADB4B7F535FE9B915A0600E4E32EFEF6602A97B9CFDFA406XAT6M" TargetMode="External"/><Relationship Id="rId518" Type="http://schemas.openxmlformats.org/officeDocument/2006/relationships/hyperlink" Target="consultantplus://offline/ref=6CE049F5DC23C8FECAAA43E48537996286A32CD8F6B23CA7F1F8D2AE5BE3B3EEADB4B7F535FE9B9C580600E4E32EFEF6602A97B9CFDFA406XAT6M" TargetMode="External"/><Relationship Id="rId725" Type="http://schemas.openxmlformats.org/officeDocument/2006/relationships/hyperlink" Target="consultantplus://offline/ref=6CE049F5DC23C8FECAAA43E48537996286A628DDF6B33CA7F1F8D2AE5BE3B3EEADB4B7F535FE9B9D5F0600E4E32EFEF6602A97B9CFDFA406XAT6M" TargetMode="External"/><Relationship Id="rId932" Type="http://schemas.openxmlformats.org/officeDocument/2006/relationships/image" Target="media/image142.wmf"/><Relationship Id="rId1148" Type="http://schemas.openxmlformats.org/officeDocument/2006/relationships/hyperlink" Target="consultantplus://offline/ref=6CE049F5DC23C8FECAAA43E48537996287A22AD1F3B13CA7F1F8D2AE5BE3B3EEADB4B7F535FE9B9D530600E4E32EFEF6602A97B9CFDFA406XAT6M" TargetMode="External"/><Relationship Id="rId1355" Type="http://schemas.openxmlformats.org/officeDocument/2006/relationships/hyperlink" Target="consultantplus://offline/ref=6CE049F5DC23C8FECAAA43E48537996284A02AD8F1B03CA7F1F8D2AE5BE3B3EEADB4B7F535FE9C905C0600E4E32EFEF6602A97B9CFDFA406XAT6M" TargetMode="External"/><Relationship Id="rId1562" Type="http://schemas.openxmlformats.org/officeDocument/2006/relationships/image" Target="media/image290.wmf"/><Relationship Id="rId157" Type="http://schemas.openxmlformats.org/officeDocument/2006/relationships/hyperlink" Target="consultantplus://offline/ref=6CE049F5DC23C8FECAAA43E48537996287A326D1F7B73CA7F1F8D2AE5BE3B3EEADB4B7F535FE9A9B5E0600E4E32EFEF6602A97B9CFDFA406XAT6M" TargetMode="External"/><Relationship Id="rId364" Type="http://schemas.openxmlformats.org/officeDocument/2006/relationships/hyperlink" Target="consultantplus://offline/ref=6CE049F5DC23C8FECAAA43E48537996284A52AD0F6BC3CA7F1F8D2AE5BE3B3EEADB4B7F535FE9B9D5A0600E4E32EFEF6602A97B9CFDFA406XAT6M" TargetMode="External"/><Relationship Id="rId1008" Type="http://schemas.openxmlformats.org/officeDocument/2006/relationships/hyperlink" Target="consultantplus://offline/ref=6CE049F5DC23C8FECAAA43E48537996286A02BD0F4BD3CA7F1F8D2AE5BE3B3EEADB4B7F535FE999B5E0600E4E32EFEF6602A97B9CFDFA406XAT6M" TargetMode="External"/><Relationship Id="rId1215" Type="http://schemas.openxmlformats.org/officeDocument/2006/relationships/hyperlink" Target="consultantplus://offline/ref=6CE049F5DC23C8FECAAA43E48537996286A727D1F7B03CA7F1F8D2AE5BE3B3EEADB4B7F535FC9B9E5F0600E4E32EFEF6602A97B9CFDFA406XAT6M" TargetMode="External"/><Relationship Id="rId1422" Type="http://schemas.openxmlformats.org/officeDocument/2006/relationships/hyperlink" Target="consultantplus://offline/ref=6CE049F5DC23C8FECAAA43E48537996284A02AD8F1B03CA7F1F8D2AE5BE3B3EEADB4B7F635FB90CD0B4901B8A57DEDF46E2A95B1D3XDTDM" TargetMode="External"/><Relationship Id="rId1867" Type="http://schemas.openxmlformats.org/officeDocument/2006/relationships/hyperlink" Target="consultantplus://offline/ref=6CE049F5DC23C8FECAAA43E4853799628CAA2FD1F2BE61ADF9A1DEAC5CECECEBAAA5B7F633E09B91440F54B7XAT7M" TargetMode="External"/><Relationship Id="rId61" Type="http://schemas.openxmlformats.org/officeDocument/2006/relationships/hyperlink" Target="consultantplus://offline/ref=6CE049F5DC23C8FECAAA43E48537996286A628DCF2B63CA7F1F8D2AE5BE3B3EEADB4B7F535FE989E530600E4E32EFEF6602A97B9CFDFA406XAT6M" TargetMode="External"/><Relationship Id="rId571" Type="http://schemas.openxmlformats.org/officeDocument/2006/relationships/hyperlink" Target="consultantplus://offline/ref=6CE049F5DC23C8FECAAA43E48537996287AA2DDEF7B23CA7F1F8D2AE5BE3B3EEADB4B7F535FE9B9B580600E4E32EFEF6602A97B9CFDFA406XAT6M" TargetMode="External"/><Relationship Id="rId669" Type="http://schemas.openxmlformats.org/officeDocument/2006/relationships/hyperlink" Target="consultantplus://offline/ref=6CE049F5DC23C8FECAAA43E48537996287A02FDEF5B13CA7F1F8D2AE5BE3B3EEADB4B7F535FE9A9A530600E4E32EFEF6602A97B9CFDFA406XAT6M" TargetMode="External"/><Relationship Id="rId876" Type="http://schemas.openxmlformats.org/officeDocument/2006/relationships/hyperlink" Target="consultantplus://offline/ref=6CE049F5DC23C8FECAAA43E48537996287A02FDDF4B63CA7F1F8D2AE5BE3B3EEBFB4EFF937F88599521356B5A5X7TBM" TargetMode="External"/><Relationship Id="rId1299" Type="http://schemas.openxmlformats.org/officeDocument/2006/relationships/hyperlink" Target="consultantplus://offline/ref=6CE049F5DC23C8FECAAA43E48537996286A628DCF2B63CA7F1F8D2AE5BE3B3EEADB4B7F535FE9C9A590600E4E32EFEF6602A97B9CFDFA406XAT6M" TargetMode="External"/><Relationship Id="rId1727" Type="http://schemas.openxmlformats.org/officeDocument/2006/relationships/image" Target="media/image430.wmf"/><Relationship Id="rId19" Type="http://schemas.openxmlformats.org/officeDocument/2006/relationships/hyperlink" Target="consultantplus://offline/ref=6CE049F5DC23C8FECAAA43E48537996286A628DDF6B33CA7F1F8D2AE5BE3B3EEADB4B7F535FE9B985C0600E4E32EFEF6602A97B9CFDFA406XAT6M" TargetMode="External"/><Relationship Id="rId224" Type="http://schemas.openxmlformats.org/officeDocument/2006/relationships/hyperlink" Target="consultantplus://offline/ref=6CE049F5DC23C8FECAAA43E48537996287A329DEF5BD3CA7F1F8D2AE5BE3B3EEADB4B7F535FE9B9D5D0600E4E32EFEF6602A97B9CFDFA406XAT6M" TargetMode="External"/><Relationship Id="rId431" Type="http://schemas.openxmlformats.org/officeDocument/2006/relationships/hyperlink" Target="consultantplus://offline/ref=6CE049F5DC23C8FECAAA43E48537996287A326D1F7B73CA7F1F8D2AE5BE3B3EEADB4B7F535FE9A9D5E0600E4E32EFEF6602A97B9CFDFA406XAT6M" TargetMode="External"/><Relationship Id="rId529" Type="http://schemas.openxmlformats.org/officeDocument/2006/relationships/hyperlink" Target="consultantplus://offline/ref=6CE049F5DC23C8FECAAA43E48537996286A72ADFF7B33CA7F1F8D2AE5BE3B3EEADB4B7F535FE9B98590600E4E32EFEF6602A97B9CFDFA406XAT6M" TargetMode="External"/><Relationship Id="rId736" Type="http://schemas.openxmlformats.org/officeDocument/2006/relationships/hyperlink" Target="consultantplus://offline/ref=6CE049F5DC23C8FECAAA43E48537996284A62FDDF5B53CA7F1F8D2AE5BE3B3EEADB4B7F535FE9B9B5B0600E4E32EFEF6602A97B9CFDFA406XAT6M" TargetMode="External"/><Relationship Id="rId1061" Type="http://schemas.openxmlformats.org/officeDocument/2006/relationships/hyperlink" Target="consultantplus://offline/ref=6CE049F5DC23C8FECAAA43E48537996286A22EDDF5B33CA7F1F8D2AE5BE3B3EEADB4B7F535FE9A9F530600E4E32EFEF6602A97B9CFDFA406XAT6M" TargetMode="External"/><Relationship Id="rId1159" Type="http://schemas.openxmlformats.org/officeDocument/2006/relationships/hyperlink" Target="consultantplus://offline/ref=6CE049F5DC23C8FECAAA43E48537996286A72ED1F3B53CA7F1F8D2AE5BE3B3EEADB4B7F535FE9B98530600E4E32EFEF6602A97B9CFDFA406XAT6M" TargetMode="External"/><Relationship Id="rId1366" Type="http://schemas.openxmlformats.org/officeDocument/2006/relationships/hyperlink" Target="consultantplus://offline/ref=6CE049F5DC23C8FECAAA43E48537996286A628DDF2B73CA7F1F8D2AE5BE3B3EEADB4B7F535FE9B9E5D0600E4E32EFEF6602A97B9CFDFA406XAT6M" TargetMode="External"/><Relationship Id="rId168" Type="http://schemas.openxmlformats.org/officeDocument/2006/relationships/hyperlink" Target="consultantplus://offline/ref=6CE049F5DC23C8FECAAA43E48537996284A62FDDF4B43CA7F1F8D2AE5BE3B3EEADB4B7F535FE9B9D5D0600E4E32EFEF6602A97B9CFDFA406XAT6M" TargetMode="External"/><Relationship Id="rId943" Type="http://schemas.openxmlformats.org/officeDocument/2006/relationships/image" Target="media/image146.wmf"/><Relationship Id="rId1019" Type="http://schemas.openxmlformats.org/officeDocument/2006/relationships/hyperlink" Target="consultantplus://offline/ref=6CE049F5DC23C8FECAAA43E48537996286A22EDDF5B33CA7F1F8D2AE5BE3B3EEADB4B7F535FE9A9C5A0600E4E32EFEF6602A97B9CFDFA406XAT6M" TargetMode="External"/><Relationship Id="rId1573" Type="http://schemas.openxmlformats.org/officeDocument/2006/relationships/image" Target="media/image300.wmf"/><Relationship Id="rId1780" Type="http://schemas.openxmlformats.org/officeDocument/2006/relationships/image" Target="media/image477.wmf"/><Relationship Id="rId1878" Type="http://schemas.openxmlformats.org/officeDocument/2006/relationships/hyperlink" Target="consultantplus://offline/ref=6CE049F5DC23C8FECAAA43E48537996284A028D0F6B43CA7F1F8D2AE5BE3B3EEADB4B7F535FE9F985E0600E4E32EFEF6602A97B9CFDFA406XAT6M" TargetMode="External"/><Relationship Id="rId72" Type="http://schemas.openxmlformats.org/officeDocument/2006/relationships/hyperlink" Target="consultantplus://offline/ref=6CE049F5DC23C8FECAAA43E48537996284A62FDDF4B43CA7F1F8D2AE5BE3B3EEADB4B7F535FE9B9D5A0600E4E32EFEF6602A97B9CFDFA406XAT6M" TargetMode="External"/><Relationship Id="rId375" Type="http://schemas.openxmlformats.org/officeDocument/2006/relationships/hyperlink" Target="consultantplus://offline/ref=6CE049F5DC23C8FECAAA43E48537996286A02ADBFDB63CA7F1F8D2AE5BE3B3EEADB4B7F535FE9B98580600E4E32EFEF6602A97B9CFDFA406XAT6M" TargetMode="External"/><Relationship Id="rId582" Type="http://schemas.openxmlformats.org/officeDocument/2006/relationships/hyperlink" Target="consultantplus://offline/ref=6CE049F5DC23C8FECAAA43E48537996287A226DDF5B13CA7F1F8D2AE5BE3B3EEADB4B7F535FE9A9D5C0600E4E32EFEF6602A97B9CFDFA406XAT6M" TargetMode="External"/><Relationship Id="rId803" Type="http://schemas.openxmlformats.org/officeDocument/2006/relationships/image" Target="media/image55.wmf"/><Relationship Id="rId1226" Type="http://schemas.openxmlformats.org/officeDocument/2006/relationships/hyperlink" Target="consultantplus://offline/ref=6CE049F5DC23C8FECAAA43E48537996287A328DCF4B03CA7F1F8D2AE5BE3B3EEADB4B7F535FE9F91590600E4E32EFEF6602A97B9CFDFA406XAT6M" TargetMode="External"/><Relationship Id="rId1433" Type="http://schemas.openxmlformats.org/officeDocument/2006/relationships/hyperlink" Target="consultantplus://offline/ref=6CE049F5DC23C8FECAAA43E48537996284A02AD8F1B03CA7F1F8D2AE5BE3B3EEADB4B7F737F990CD0B4901B8A57DEDF46E2A95B1D3XDTDM" TargetMode="External"/><Relationship Id="rId1640" Type="http://schemas.openxmlformats.org/officeDocument/2006/relationships/image" Target="media/image357.wmf"/><Relationship Id="rId1738" Type="http://schemas.openxmlformats.org/officeDocument/2006/relationships/image" Target="media/image440.wmf"/><Relationship Id="rId3" Type="http://schemas.openxmlformats.org/officeDocument/2006/relationships/settings" Target="settings.xml"/><Relationship Id="rId235" Type="http://schemas.openxmlformats.org/officeDocument/2006/relationships/hyperlink" Target="consultantplus://offline/ref=6CE049F5DC23C8FECAAA43E48537996287A328DCF4B03CA7F1F8D2AE5BE3B3EEADB4B7F535FE9B9F5E0600E4E32EFEF6602A97B9CFDFA406XAT6M" TargetMode="External"/><Relationship Id="rId442" Type="http://schemas.openxmlformats.org/officeDocument/2006/relationships/hyperlink" Target="consultantplus://offline/ref=6CE049F5DC23C8FECAAA43E48537996286A729DAFCB03CA7F1F8D2AE5BE3B3EEADB4B7F535FE9B9B5D0600E4E32EFEF6602A97B9CFDFA406XAT6M" TargetMode="External"/><Relationship Id="rId887" Type="http://schemas.openxmlformats.org/officeDocument/2006/relationships/image" Target="media/image118.wmf"/><Relationship Id="rId1072" Type="http://schemas.openxmlformats.org/officeDocument/2006/relationships/hyperlink" Target="consultantplus://offline/ref=6CE049F5DC23C8FECAAA43E48537996286A02BD0F4BD3CA7F1F8D2AE5BE3B3EEADB4B7F535FE999A5C0600E4E32EFEF6602A97B9CFDFA406XAT6M" TargetMode="External"/><Relationship Id="rId1500" Type="http://schemas.openxmlformats.org/officeDocument/2006/relationships/hyperlink" Target="consultantplus://offline/ref=6CE049F5DC23C8FECAAA43E48537996284A026DDF2B13CA7F1F8D2AE5BE3B3EEADB4B7F535FE9D915B0600E4E32EFEF6602A97B9CFDFA406XAT6M" TargetMode="External"/><Relationship Id="rId302" Type="http://schemas.openxmlformats.org/officeDocument/2006/relationships/hyperlink" Target="consultantplus://offline/ref=6CE049F5DC23C8FECAAA43E48537996284A52BDCFDB13CA7F1F8D2AE5BE3B3EEADB4B7F535FE9A9B5D0600E4E32EFEF6602A97B9CFDFA406XAT6M" TargetMode="External"/><Relationship Id="rId747" Type="http://schemas.openxmlformats.org/officeDocument/2006/relationships/hyperlink" Target="consultantplus://offline/ref=6CE049F5DC23C8FECAAA43E48537996284A62FDDF4B43CA7F1F8D2AE5BE3B3EEADB4B7F535FE999A590600E4E32EFEF6602A97B9CFDFA406XAT6M" TargetMode="External"/><Relationship Id="rId954" Type="http://schemas.openxmlformats.org/officeDocument/2006/relationships/image" Target="media/image155.wmf"/><Relationship Id="rId1377" Type="http://schemas.openxmlformats.org/officeDocument/2006/relationships/hyperlink" Target="consultantplus://offline/ref=6CE049F5DC23C8FECAAA43E48537996286A628DDF2B73CA7F1F8D2AE5BE3B3EEADB4B7F535FE9B9E5D0600E4E32EFEF6602A97B9CFDFA406XAT6M" TargetMode="External"/><Relationship Id="rId1584" Type="http://schemas.openxmlformats.org/officeDocument/2006/relationships/hyperlink" Target="consultantplus://offline/ref=6CE049F5DC23C8FECAAA43E48537996286A628D1FCB73CA7F1F8D2AE5BE3B3EEADB4B7F535FE9B9D5D0600E4E32EFEF6602A97B9CFDFA406XAT6M" TargetMode="External"/><Relationship Id="rId1791" Type="http://schemas.openxmlformats.org/officeDocument/2006/relationships/image" Target="media/image488.wmf"/><Relationship Id="rId1805" Type="http://schemas.openxmlformats.org/officeDocument/2006/relationships/image" Target="media/image501.wmf"/><Relationship Id="rId83" Type="http://schemas.openxmlformats.org/officeDocument/2006/relationships/hyperlink" Target="consultantplus://offline/ref=6CE049F5DC23C8FECAAA43E48537996287A229D9FDB23CA7F1F8D2AE5BE3B3EEADB4B7F535FE9B9D5F0600E4E32EFEF6602A97B9CFDFA406XAT6M" TargetMode="External"/><Relationship Id="rId179" Type="http://schemas.openxmlformats.org/officeDocument/2006/relationships/hyperlink" Target="consultantplus://offline/ref=6CE049F5DC23C8FECAAA43E48537996284A727D0F4B33CA7F1F8D2AE5BE3B3EEADB4B7F535FE9B9C590600E4E32EFEF6602A97B9CFDFA406XAT6M" TargetMode="External"/><Relationship Id="rId386" Type="http://schemas.openxmlformats.org/officeDocument/2006/relationships/hyperlink" Target="consultantplus://offline/ref=6CE049F5DC23C8FECAAA43E48537996287A02FDEF5B13CA7F1F8D2AE5BE3B3EEADB4B7F535FE9A9B530600E4E32EFEF6602A97B9CFDFA406XAT6M" TargetMode="External"/><Relationship Id="rId593" Type="http://schemas.openxmlformats.org/officeDocument/2006/relationships/hyperlink" Target="consultantplus://offline/ref=6CE049F5DC23C8FECAAA43E48537996286A729DAFCB03CA7F1F8D2AE5BE3B3EEADB4B7F535FE9B9B5D0600E4E32EFEF6602A97B9CFDFA406XAT6M" TargetMode="External"/><Relationship Id="rId607" Type="http://schemas.openxmlformats.org/officeDocument/2006/relationships/hyperlink" Target="consultantplus://offline/ref=6CE049F5DC23C8FECAAA43E48537996284A62FDDF4B43CA7F1F8D2AE5BE3B3EEADB4B7F535FE9A99590600E4E32EFEF6602A97B9CFDFA406XAT6M" TargetMode="External"/><Relationship Id="rId814" Type="http://schemas.openxmlformats.org/officeDocument/2006/relationships/hyperlink" Target="consultantplus://offline/ref=6CE049F5DC23C8FECAAA43E48537996286A32CDBF7BD3CA7F1F8D2AE5BE3B3EEADB4B7F535FE9A9D5D0600E4E32EFEF6602A97B9CFDFA406XAT6M" TargetMode="External"/><Relationship Id="rId1237" Type="http://schemas.openxmlformats.org/officeDocument/2006/relationships/hyperlink" Target="consultantplus://offline/ref=6CE049F5DC23C8FECAAA43E48537996286A32CD8F6B23CA7F1F8D2AE5BE3B3EEADB4B7F535FF999A580600E4E32EFEF6602A97B9CFDFA406XAT6M" TargetMode="External"/><Relationship Id="rId1444" Type="http://schemas.openxmlformats.org/officeDocument/2006/relationships/hyperlink" Target="consultantplus://offline/ref=6CE049F5DC23C8FECAAA43E48537996284A026DDF2B63CA7F1F8D2AE5BE3B3EEADB4B7F535FE9B9E5F0600E4E32EFEF6602A97B9CFDFA406XAT6M" TargetMode="External"/><Relationship Id="rId1651" Type="http://schemas.openxmlformats.org/officeDocument/2006/relationships/image" Target="media/image367.wmf"/><Relationship Id="rId246" Type="http://schemas.openxmlformats.org/officeDocument/2006/relationships/hyperlink" Target="consultantplus://offline/ref=6CE049F5DC23C8FECAAA43E48537996286A626DBFDB03CA7F1F8D2AE5BE3B3EEADB4B7F535FE9B905B0600E4E32EFEF6602A97B9CFDFA406XAT6M" TargetMode="External"/><Relationship Id="rId453" Type="http://schemas.openxmlformats.org/officeDocument/2006/relationships/image" Target="media/image7.wmf"/><Relationship Id="rId660" Type="http://schemas.openxmlformats.org/officeDocument/2006/relationships/hyperlink" Target="consultantplus://offline/ref=6CE049F5DC23C8FECAAA43E48537996287AA29DBF2B53CA7F1F8D2AE5BE3B3EEADB4B7F535FE9B9C5F0600E4E32EFEF6602A97B9CFDFA406XAT6M" TargetMode="External"/><Relationship Id="rId898" Type="http://schemas.openxmlformats.org/officeDocument/2006/relationships/hyperlink" Target="consultantplus://offline/ref=6CE049F5DC23C8FECAAA43E48537996287A02FDDF4B63CA7F1F8D2AE5BE3B3EEBFB4EFF937F88599521356B5A5X7TBM" TargetMode="External"/><Relationship Id="rId1083" Type="http://schemas.openxmlformats.org/officeDocument/2006/relationships/image" Target="media/image230.wmf"/><Relationship Id="rId1290" Type="http://schemas.openxmlformats.org/officeDocument/2006/relationships/hyperlink" Target="consultantplus://offline/ref=6CE049F5DC23C8FECAAA43E48537996284A02AD8F1B03CA7F1F8D2AE5BE3B3EEADB4B7F535FE989E530600E4E32EFEF6602A97B9CFDFA406XAT6M" TargetMode="External"/><Relationship Id="rId1304" Type="http://schemas.openxmlformats.org/officeDocument/2006/relationships/hyperlink" Target="consultantplus://offline/ref=6CE049F5DC23C8FECAAA43E48537996284A02AD8F1B03CA7F1F8D2AE5BE3B3EEADB4B7F535FE9F985F0600E4E32EFEF6602A97B9CFDFA406XAT6M" TargetMode="External"/><Relationship Id="rId1511" Type="http://schemas.openxmlformats.org/officeDocument/2006/relationships/hyperlink" Target="consultantplus://offline/ref=6CE049F5DC23C8FECAAA43E48537996284A028D0F6B43CA7F1F8D2AE5BE3B3EEADB4B7F535FE9B9B5B0600E4E32EFEF6602A97B9CFDFA406XAT6M" TargetMode="External"/><Relationship Id="rId1749" Type="http://schemas.openxmlformats.org/officeDocument/2006/relationships/image" Target="media/image449.wmf"/><Relationship Id="rId106" Type="http://schemas.openxmlformats.org/officeDocument/2006/relationships/hyperlink" Target="consultantplus://offline/ref=6CE049F5DC23C8FECAAA43E48537996286A22EDDF5B33CA7F1F8D2AE5BE3B3EEADB4B7F535FE9B915A0600E4E32EFEF6602A97B9CFDFA406XAT6M" TargetMode="External"/><Relationship Id="rId313" Type="http://schemas.openxmlformats.org/officeDocument/2006/relationships/hyperlink" Target="consultantplus://offline/ref=6CE049F5DC23C8FECAAA43E48537996284A52BDCFDB13CA7F1F8D2AE5BE3B3EEADB4B7F535FE9A9D590600E4E32EFEF6602A97B9CFDFA406XAT6M" TargetMode="External"/><Relationship Id="rId758" Type="http://schemas.openxmlformats.org/officeDocument/2006/relationships/hyperlink" Target="consultantplus://offline/ref=6CE049F5DC23C8FECAAA43E48537996286A628DDF6B33CA7F1F8D2AE5BE3B3EEADB4B7F535FE9B9F5D0600E4E32EFEF6602A97B9CFDFA406XAT6M" TargetMode="External"/><Relationship Id="rId965" Type="http://schemas.openxmlformats.org/officeDocument/2006/relationships/image" Target="media/image160.wmf"/><Relationship Id="rId1150" Type="http://schemas.openxmlformats.org/officeDocument/2006/relationships/hyperlink" Target="consultantplus://offline/ref=6CE049F5DC23C8FECAAA43E48537996287A22AD1F3B13CA7F1F8D2AE5BE3B3EEADB4B7F535FE9B9C5B0600E4E32EFEF6602A97B9CFDFA406XAT6M" TargetMode="External"/><Relationship Id="rId1388" Type="http://schemas.openxmlformats.org/officeDocument/2006/relationships/hyperlink" Target="consultantplus://offline/ref=6CE049F5DC23C8FECAAA43E48537996284A02AD8F1B03CA7F1F8D2AE5BE3B3EEADB4B7F535FE9C9B530600E4E32EFEF6602A97B9CFDFA406XAT6M" TargetMode="External"/><Relationship Id="rId1595" Type="http://schemas.openxmlformats.org/officeDocument/2006/relationships/image" Target="media/image319.wmf"/><Relationship Id="rId1609" Type="http://schemas.openxmlformats.org/officeDocument/2006/relationships/image" Target="media/image331.wmf"/><Relationship Id="rId1816" Type="http://schemas.openxmlformats.org/officeDocument/2006/relationships/image" Target="media/image510.wmf"/><Relationship Id="rId10" Type="http://schemas.openxmlformats.org/officeDocument/2006/relationships/hyperlink" Target="consultantplus://offline/ref=6CE049F5DC23C8FECAAA43E48537996286A628DCF3BC3CA7F1F8D2AE5BE3B3EEADB4B7F535FE9B9F5F0600E4E32EFEF6602A97B9CFDFA406XAT6M" TargetMode="External"/><Relationship Id="rId94" Type="http://schemas.openxmlformats.org/officeDocument/2006/relationships/hyperlink" Target="consultantplus://offline/ref=6CE049F5DC23C8FECAAA43E48537996287A32DDFF3B23CA7F1F8D2AE5BE3B3EEADB4B7F535FE9A98580600E4E32EFEF6602A97B9CFDFA406XAT6M" TargetMode="External"/><Relationship Id="rId397" Type="http://schemas.openxmlformats.org/officeDocument/2006/relationships/hyperlink" Target="consultantplus://offline/ref=6CE049F5DC23C8FECAAA43E48537996286A729DAFCB03CA7F1F8D2AE5BE3B3EEADB4B7F535FE9B9B5D0600E4E32EFEF6602A97B9CFDFA406XAT6M" TargetMode="External"/><Relationship Id="rId520" Type="http://schemas.openxmlformats.org/officeDocument/2006/relationships/hyperlink" Target="consultantplus://offline/ref=6CE049F5DC23C8FECAAA43E48537996286A32CD8F6B23CA7F1F8D2AE5BE3B3EEADB4B7F535FF99995C0600E4E32EFEF6602A97B9CFDFA406XAT6M" TargetMode="External"/><Relationship Id="rId618" Type="http://schemas.openxmlformats.org/officeDocument/2006/relationships/hyperlink" Target="consultantplus://offline/ref=6CE049F5DC23C8FECAAA43E48537996286A028DCFCB13CA7F1F8D2AE5BE3B3EEADB4B7F535FE9B9A5C0600E4E32EFEF6602A97B9CFDFA406XAT6M" TargetMode="External"/><Relationship Id="rId825" Type="http://schemas.openxmlformats.org/officeDocument/2006/relationships/image" Target="media/image75.wmf"/><Relationship Id="rId1248" Type="http://schemas.openxmlformats.org/officeDocument/2006/relationships/hyperlink" Target="consultantplus://offline/ref=6CE049F5DC23C8FECAAA43E48537996286A32CD8F6B23CA7F1F8D2AE5BE3B3EEADB4B7F535FF999D580600E4E32EFEF6602A97B9CFDFA406XAT6M" TargetMode="External"/><Relationship Id="rId1455" Type="http://schemas.openxmlformats.org/officeDocument/2006/relationships/hyperlink" Target="consultantplus://offline/ref=6CE049F5DC23C8FECAAA43E48537996284A026DDF2B63CA7F1F8D2AE5BE3B3EEADB4B7F535FE9A91590600E4E32EFEF6602A97B9CFDFA406XAT6M" TargetMode="External"/><Relationship Id="rId1662" Type="http://schemas.openxmlformats.org/officeDocument/2006/relationships/image" Target="media/image377.wmf"/><Relationship Id="rId257" Type="http://schemas.openxmlformats.org/officeDocument/2006/relationships/hyperlink" Target="consultantplus://offline/ref=6CE049F5DC23C8FECAAA43E48537996284A62FDDF4B43CA7F1F8D2AE5BE3B3EEADB4B7F535FE9B9C590600E4E32EFEF6602A97B9CFDFA406XAT6M" TargetMode="External"/><Relationship Id="rId464" Type="http://schemas.openxmlformats.org/officeDocument/2006/relationships/hyperlink" Target="consultantplus://offline/ref=6CE049F5DC23C8FECAAA43E48537996286A628D1FCB73CA7F1F8D2AE5BE3B3EEADB4B7F535FE9B9D5D0600E4E32EFEF6602A97B9CFDFA406XAT6M" TargetMode="External"/><Relationship Id="rId1010" Type="http://schemas.openxmlformats.org/officeDocument/2006/relationships/image" Target="media/image186.wmf"/><Relationship Id="rId1094" Type="http://schemas.openxmlformats.org/officeDocument/2006/relationships/hyperlink" Target="consultantplus://offline/ref=6CE049F5DC23C8FECAAA43E48537996286A628DCF2B63CA7F1F8D2AE5BE3B3EEADB4B7F535FE989E530600E4E32EFEF6602A97B9CFDFA406XAT6M" TargetMode="External"/><Relationship Id="rId1108" Type="http://schemas.openxmlformats.org/officeDocument/2006/relationships/hyperlink" Target="consultantplus://offline/ref=6CE049F5DC23C8FECAAA43E48537996287AA29DBF2B53CA7F1F8D2AE5BE3B3EEADB4B7F535FE9B9C5D0600E4E32EFEF6602A97B9CFDFA406XAT6M" TargetMode="External"/><Relationship Id="rId1315" Type="http://schemas.openxmlformats.org/officeDocument/2006/relationships/hyperlink" Target="consultantplus://offline/ref=6CE049F5DC23C8FECAAA43E48537996284A02AD8F1B03CA7F1F8D2AE5BE3B3EEADB4B7F535FE9F9D530600E4E32EFEF6602A97B9CFDFA406XAT6M" TargetMode="External"/><Relationship Id="rId117" Type="http://schemas.openxmlformats.org/officeDocument/2006/relationships/hyperlink" Target="consultantplus://offline/ref=6CE049F5DC23C8FECAAA43E48537996286A72ED9F7B63CA7F1F8D2AE5BE3B3EEADB4B7F535FE9B98590600E4E32EFEF6602A97B9CFDFA406XAT6M" TargetMode="External"/><Relationship Id="rId671" Type="http://schemas.openxmlformats.org/officeDocument/2006/relationships/hyperlink" Target="consultantplus://offline/ref=6CE049F5DC23C8FECAAA43E48537996284A62FDDF4B43CA7F1F8D2AE5BE3B3EEADB4B7F535FE9A9E580600E4E32EFEF6602A97B9CFDFA406XAT6M" TargetMode="External"/><Relationship Id="rId769" Type="http://schemas.openxmlformats.org/officeDocument/2006/relationships/image" Target="media/image27.wmf"/><Relationship Id="rId976" Type="http://schemas.openxmlformats.org/officeDocument/2006/relationships/image" Target="media/image167.wmf"/><Relationship Id="rId1399" Type="http://schemas.openxmlformats.org/officeDocument/2006/relationships/hyperlink" Target="consultantplus://offline/ref=6CE049F5DC23C8FECAAA43E48537996284A02AD8F1B03CA7F1F8D2AE5BE3B3EEADB4B7F535FE9C9A530600E4E32EFEF6602A97B9CFDFA406XAT6M" TargetMode="External"/><Relationship Id="rId324" Type="http://schemas.openxmlformats.org/officeDocument/2006/relationships/hyperlink" Target="consultantplus://offline/ref=6CE049F5DC23C8FECAAA43E48537996287AA2ED1F7B63CA7F1F8D2AE5BE3B3EEADB4B7F535FE9B99530600E4E32EFEF6602A97B9CFDFA406XAT6M" TargetMode="External"/><Relationship Id="rId531" Type="http://schemas.openxmlformats.org/officeDocument/2006/relationships/hyperlink" Target="consultantplus://offline/ref=6CE049F5DC23C8FECAAA43E48537996286A729DAFCB03CA7F1F8D2AE5BE3B3EEADB4B7F535FE9B9B5D0600E4E32EFEF6602A97B9CFDFA406XAT6M" TargetMode="External"/><Relationship Id="rId629" Type="http://schemas.openxmlformats.org/officeDocument/2006/relationships/hyperlink" Target="consultantplus://offline/ref=6CE049F5DC23C8FECAAA43E48537996286A32CDBF7BD3CA7F1F8D2AE5BE3B3EEADB4B7F535FE9A9B5C0600E4E32EFEF6602A97B9CFDFA406XAT6M" TargetMode="External"/><Relationship Id="rId1161" Type="http://schemas.openxmlformats.org/officeDocument/2006/relationships/hyperlink" Target="consultantplus://offline/ref=6CE049F5DC23C8FECAAA43E48537996286A229D0F3B43CA7F1F8D2AE5BE3B3EEADB4B7F535FE9B9E580600E4E32EFEF6602A97B9CFDFA406XAT6M" TargetMode="External"/><Relationship Id="rId1259" Type="http://schemas.openxmlformats.org/officeDocument/2006/relationships/hyperlink" Target="consultantplus://offline/ref=6CE049F5DC23C8FECAAA43E48537996286A628DDF2B73CA7F1F8D2AE5BE3B3EEADB4B7F535FE9B9E5D0600E4E32EFEF6602A97B9CFDFA406XAT6M" TargetMode="External"/><Relationship Id="rId1466" Type="http://schemas.openxmlformats.org/officeDocument/2006/relationships/hyperlink" Target="consultantplus://offline/ref=6CE049F5DC23C8FECAAA43E48537996284A026DDF2B63CA7F1F8D2AE5BE3B3EEADB4B7F135F5CFC81E5859B7A165F3FC783697B3XDT1M" TargetMode="External"/><Relationship Id="rId836" Type="http://schemas.openxmlformats.org/officeDocument/2006/relationships/image" Target="media/image86.wmf"/><Relationship Id="rId1021" Type="http://schemas.openxmlformats.org/officeDocument/2006/relationships/image" Target="media/image193.wmf"/><Relationship Id="rId1119" Type="http://schemas.openxmlformats.org/officeDocument/2006/relationships/hyperlink" Target="consultantplus://offline/ref=6CE049F5DC23C8FECAAA43E48537996286A02AD9F1B53CA7F1F8D2AE5BE3B3EEADB4B7F535FE9E9D520600E4E32EFEF6602A97B9CFDFA406XAT6M" TargetMode="External"/><Relationship Id="rId1673" Type="http://schemas.openxmlformats.org/officeDocument/2006/relationships/image" Target="media/image386.wmf"/><Relationship Id="rId1880" Type="http://schemas.openxmlformats.org/officeDocument/2006/relationships/fontTable" Target="fontTable.xml"/><Relationship Id="rId903" Type="http://schemas.openxmlformats.org/officeDocument/2006/relationships/image" Target="media/image126.wmf"/><Relationship Id="rId1326" Type="http://schemas.openxmlformats.org/officeDocument/2006/relationships/hyperlink" Target="consultantplus://offline/ref=6CE049F5DC23C8FECAAA43E48537996286A32EDAF0B63CA7F1F8D2AE5BE3B3EEADB4B7F535FE9A9D580600E4E32EFEF6602A97B9CFDFA406XAT6M" TargetMode="External"/><Relationship Id="rId1533" Type="http://schemas.openxmlformats.org/officeDocument/2006/relationships/image" Target="media/image261.wmf"/><Relationship Id="rId1740" Type="http://schemas.openxmlformats.org/officeDocument/2006/relationships/image" Target="media/image442.wmf"/><Relationship Id="rId32" Type="http://schemas.openxmlformats.org/officeDocument/2006/relationships/hyperlink" Target="consultantplus://offline/ref=6CE049F5DC23C8FECAAA43E48537996287A328DCF4B03CA7F1F8D2AE5BE3B3EEADB4B7F535FE9B9C5B0600E4E32EFEF6602A97B9CFDFA406XAT6M" TargetMode="External"/><Relationship Id="rId1600" Type="http://schemas.openxmlformats.org/officeDocument/2006/relationships/image" Target="media/image322.wmf"/><Relationship Id="rId1838" Type="http://schemas.openxmlformats.org/officeDocument/2006/relationships/image" Target="media/image528.wmf"/><Relationship Id="rId181" Type="http://schemas.openxmlformats.org/officeDocument/2006/relationships/hyperlink" Target="consultantplus://offline/ref=6CE049F5DC23C8FECAAA43E48537996286A628DCF2B63CA7F1F8D2AE5BE3B3EEADB4B7F535FF98995E0600E4E32EFEF6602A97B9CFDFA406XAT6M" TargetMode="External"/><Relationship Id="rId279" Type="http://schemas.openxmlformats.org/officeDocument/2006/relationships/hyperlink" Target="consultantplus://offline/ref=6CE049F5DC23C8FECAAA43E48537996286A628DCF2B63CA7F1F8D2AE5BE3B3EEADB4B7F535FE9C9E5C0600E4E32EFEF6602A97B9CFDFA406XAT6M" TargetMode="External"/><Relationship Id="rId486" Type="http://schemas.openxmlformats.org/officeDocument/2006/relationships/image" Target="media/image22.wmf"/><Relationship Id="rId693" Type="http://schemas.openxmlformats.org/officeDocument/2006/relationships/hyperlink" Target="consultantplus://offline/ref=6CE049F5DC23C8FECAAA43E48537996284A62FDDF4B43CA7F1F8D2AE5BE3B3EEADB4B7F535FE99985A0600E4E32EFEF6602A97B9CFDFA406XAT6M" TargetMode="External"/><Relationship Id="rId139" Type="http://schemas.openxmlformats.org/officeDocument/2006/relationships/hyperlink" Target="consultantplus://offline/ref=6CE049F5DC23C8FECAAA43E48537996287A226DDF5B13CA7F1F8D2AE5BE3B3EEADB4B7F535FE9A9B530600E4E32EFEF6602A97B9CFDFA406XAT6M" TargetMode="External"/><Relationship Id="rId346" Type="http://schemas.openxmlformats.org/officeDocument/2006/relationships/hyperlink" Target="consultantplus://offline/ref=6CE049F5DC23C8FECAAA43E48537996286A328DEF7BD3CA7F1F8D2AE5BE3B3EEADB4B7F535FE9B9E5C0600E4E32EFEF6602A97B9CFDFA406XAT6M" TargetMode="External"/><Relationship Id="rId553" Type="http://schemas.openxmlformats.org/officeDocument/2006/relationships/hyperlink" Target="consultantplus://offline/ref=6CE049F5DC23C8FECAAA43E48537996287AA2DDEF7B23CA7F1F8D2AE5BE3B3EEADB4B7F535FE9B985D0600E4E32EFEF6602A97B9CFDFA406XAT6M" TargetMode="External"/><Relationship Id="rId760" Type="http://schemas.openxmlformats.org/officeDocument/2006/relationships/hyperlink" Target="consultantplus://offline/ref=6CE049F5DC23C8FECAAA43E48537996286A628DDF6B33CA7F1F8D2AE5BE3B3EEADB4B7F535FE9B9F530600E4E32EFEF6602A97B9CFDFA406XAT6M" TargetMode="External"/><Relationship Id="rId998" Type="http://schemas.openxmlformats.org/officeDocument/2006/relationships/hyperlink" Target="consultantplus://offline/ref=6CE049F5DC23C8FECAAA43E48537996287A02FDEF5B13CA7F1F8D2AE5BE3B3EEADB4B7F535FE9A9C5D0600E4E32EFEF6602A97B9CFDFA406XAT6M" TargetMode="External"/><Relationship Id="rId1183" Type="http://schemas.openxmlformats.org/officeDocument/2006/relationships/hyperlink" Target="consultantplus://offline/ref=6CE049F5DC23C8FECAAA43E48537996287A328DCF4B03CA7F1F8D2AE5BE3B3EEADB4B7F535FE999A5A0600E4E32EFEF6602A97B9CFDFA406XAT6M" TargetMode="External"/><Relationship Id="rId1390" Type="http://schemas.openxmlformats.org/officeDocument/2006/relationships/hyperlink" Target="consultantplus://offline/ref=6CE049F5DC23C8FECAAA43E48537996284A02AD8F1B03CA7F1F8D2AE5BE3B3EEADB4B7F535FE939F5A0600E4E32EFEF6602A97B9CFDFA406XAT6M" TargetMode="External"/><Relationship Id="rId206" Type="http://schemas.openxmlformats.org/officeDocument/2006/relationships/hyperlink" Target="consultantplus://offline/ref=6CE049F5DC23C8FECAAA43E48537996286A729DAFCB03CA7F1F8D2AE5BE3B3EEADB4B7F535FE9B9B5D0600E4E32EFEF6602A97B9CFDFA406XAT6M" TargetMode="External"/><Relationship Id="rId413" Type="http://schemas.openxmlformats.org/officeDocument/2006/relationships/hyperlink" Target="consultantplus://offline/ref=6CE049F5DC23C8FECAAA43E48537996287A226DDF5B13CA7F1F8D2AE5BE3B3EEADB4B7F535FE9A9A590600E4E32EFEF6602A97B9CFDFA406XAT6M" TargetMode="External"/><Relationship Id="rId858" Type="http://schemas.openxmlformats.org/officeDocument/2006/relationships/image" Target="media/image101.wmf"/><Relationship Id="rId1043" Type="http://schemas.openxmlformats.org/officeDocument/2006/relationships/image" Target="media/image206.wmf"/><Relationship Id="rId1488" Type="http://schemas.openxmlformats.org/officeDocument/2006/relationships/hyperlink" Target="consultantplus://offline/ref=6CE049F5DC23C8FECAAA43E48537996284A026DDF2B13CA7F1F8D2AE5BE3B3EEADB4B7F535FE9E995C0600E4E32EFEF6602A97B9CFDFA406XAT6M" TargetMode="External"/><Relationship Id="rId1695" Type="http://schemas.openxmlformats.org/officeDocument/2006/relationships/image" Target="media/image403.wmf"/><Relationship Id="rId620" Type="http://schemas.openxmlformats.org/officeDocument/2006/relationships/hyperlink" Target="consultantplus://offline/ref=6CE049F5DC23C8FECAAA43E48537996284A62FDDF4B43CA7F1F8D2AE5BE3B3EEADB4B7F535FE9A985B0600E4E32EFEF6602A97B9CFDFA406XAT6M" TargetMode="External"/><Relationship Id="rId718" Type="http://schemas.openxmlformats.org/officeDocument/2006/relationships/hyperlink" Target="consultantplus://offline/ref=6CE049F5DC23C8FECAAA43E48537996286A628DDF6B33CA7F1F8D2AE5BE3B3EEADB4B7F535FE9B9A530600E4E32EFEF6602A97B9CFDFA406XAT6M" TargetMode="External"/><Relationship Id="rId925" Type="http://schemas.openxmlformats.org/officeDocument/2006/relationships/image" Target="media/image139.wmf"/><Relationship Id="rId1250" Type="http://schemas.openxmlformats.org/officeDocument/2006/relationships/hyperlink" Target="consultantplus://offline/ref=6CE049F5DC23C8FECAAA43E48537996286A128DEF7B43CA7F1F8D2AE5BE3B3EEADB4B7F535FE9A9E5F0600E4E32EFEF6602A97B9CFDFA406XAT6M" TargetMode="External"/><Relationship Id="rId1348" Type="http://schemas.openxmlformats.org/officeDocument/2006/relationships/hyperlink" Target="consultantplus://offline/ref=6CE049F5DC23C8FECAAA43E48537996284A02AD8F1B03CA7F1F8D2AE5BE3B3EEADB4B7F535FE9D9E5F0600E4E32EFEF6602A97B9CFDFA406XAT6M" TargetMode="External"/><Relationship Id="rId1555" Type="http://schemas.openxmlformats.org/officeDocument/2006/relationships/image" Target="media/image283.wmf"/><Relationship Id="rId1762" Type="http://schemas.openxmlformats.org/officeDocument/2006/relationships/image" Target="media/image462.wmf"/><Relationship Id="rId1110" Type="http://schemas.openxmlformats.org/officeDocument/2006/relationships/image" Target="media/image244.wmf"/><Relationship Id="rId1208" Type="http://schemas.openxmlformats.org/officeDocument/2006/relationships/hyperlink" Target="consultantplus://offline/ref=6CE049F5DC23C8FECAAA43E48537996287A328DCF4B03CA7F1F8D2AE5BE3B3EEADB4B7F535FE989E5F0600E4E32EFEF6602A97B9CFDFA406XAT6M" TargetMode="External"/><Relationship Id="rId1415" Type="http://schemas.openxmlformats.org/officeDocument/2006/relationships/hyperlink" Target="consultantplus://offline/ref=6CE049F5DC23C8FECAAA43E48537996284A02AD8F1B03CA7F1F8D2AE5BE3B3EEADB4B7F537F890CD0B4901B8A57DEDF46E2A95B1D3XDTDM" TargetMode="External"/><Relationship Id="rId54" Type="http://schemas.openxmlformats.org/officeDocument/2006/relationships/hyperlink" Target="consultantplus://offline/ref=6CE049F5DC23C8FECAAA43E48537996286A628DDF2B73CA7F1F8D2AE5BE3B3EEADB4B7F535FE9B9F5C0600E4E32EFEF6602A97B9CFDFA406XAT6M" TargetMode="External"/><Relationship Id="rId1622" Type="http://schemas.openxmlformats.org/officeDocument/2006/relationships/hyperlink" Target="consultantplus://offline/ref=6CE049F5DC23C8FECAAA43E48537996286A628D1FCB73CA7F1F8D2AE5BE3B3EEADB4B7F535FE9B9D5D0600E4E32EFEF6602A97B9CFDFA406XAT6M" TargetMode="External"/><Relationship Id="rId270" Type="http://schemas.openxmlformats.org/officeDocument/2006/relationships/hyperlink" Target="consultantplus://offline/ref=6CE049F5DC23C8FECAAA43E48537996286A628DCF2B63CA7F1F8D2AE5BE3B3EEADB4B7F535FE989E530600E4E32EFEF6602A97B9CFDFA406XAT6M" TargetMode="External"/><Relationship Id="rId130" Type="http://schemas.openxmlformats.org/officeDocument/2006/relationships/hyperlink" Target="consultantplus://offline/ref=6CE049F5DC23C8FECAAA43E48537996286A626DBFDB03CA7F1F8D2AE5BE3B3EEADB4B7F535FE9B9F5F0600E4E32EFEF6602A97B9CFDFA406XAT6M" TargetMode="External"/><Relationship Id="rId368" Type="http://schemas.openxmlformats.org/officeDocument/2006/relationships/hyperlink" Target="consultantplus://offline/ref=6CE049F5DC23C8FECAAA43E48537996286A02ADBFDB63CA7F1F8D2AE5BE3B3EEADB4B7F535FE9B98580600E4E32EFEF6602A97B9CFDFA406XAT6M" TargetMode="External"/><Relationship Id="rId575" Type="http://schemas.openxmlformats.org/officeDocument/2006/relationships/hyperlink" Target="consultantplus://offline/ref=6CE049F5DC23C8FECAAA43E48537996287AA2DDEF7B23CA7F1F8D2AE5BE3B3EEADB4B7F535FE9B9B5F0600E4E32EFEF6602A97B9CFDFA406XAT6M" TargetMode="External"/><Relationship Id="rId782" Type="http://schemas.openxmlformats.org/officeDocument/2006/relationships/hyperlink" Target="consultantplus://offline/ref=6CE049F5DC23C8FECAAA43E48537996286A62DD9F1B63CA7F1F8D2AE5BE3B3EEBFB4EFF937F88599521356B5A5X7TBM" TargetMode="External"/><Relationship Id="rId228" Type="http://schemas.openxmlformats.org/officeDocument/2006/relationships/hyperlink" Target="consultantplus://offline/ref=6CE049F5DC23C8FECAAA43E48537996286A628DDF2B73CA7F1F8D2AE5BE3B3EEADB4B7F535FE9B9F530600E4E32EFEF6602A97B9CFDFA406XAT6M" TargetMode="External"/><Relationship Id="rId435" Type="http://schemas.openxmlformats.org/officeDocument/2006/relationships/hyperlink" Target="consultantplus://offline/ref=6CE049F5DC23C8FECAAA43E48537996286A328DEF7BD3CA7F1F8D2AE5BE3B3EEADB4B7F535FE9B90580600E4E32EFEF6602A97B9CFDFA406XAT6M" TargetMode="External"/><Relationship Id="rId642" Type="http://schemas.openxmlformats.org/officeDocument/2006/relationships/hyperlink" Target="consultantplus://offline/ref=6CE049F5DC23C8FECAAA43E48537996286A32CDBF7BD3CA7F1F8D2AE5BE3B3EEADB4B7F535FE9A9A5B0600E4E32EFEF6602A97B9CFDFA406XAT6M" TargetMode="External"/><Relationship Id="rId1065" Type="http://schemas.openxmlformats.org/officeDocument/2006/relationships/image" Target="media/image217.wmf"/><Relationship Id="rId1272" Type="http://schemas.openxmlformats.org/officeDocument/2006/relationships/hyperlink" Target="consultantplus://offline/ref=6CE049F5DC23C8FECAAA43E48537996284A02ADBF0B53CA7F1F8D2AE5BE3B3EEADB4B7F53CF790CD0B4901B8A57DEDF46E2A95B1D3XDTDM" TargetMode="External"/><Relationship Id="rId502" Type="http://schemas.openxmlformats.org/officeDocument/2006/relationships/hyperlink" Target="consultantplus://offline/ref=6CE049F5DC23C8FECAAA43E48537996287A326D1F7B73CA7F1F8D2AE5BE3B3EEADB4B7F535FE9A9D5D0600E4E32EFEF6602A97B9CFDFA406XAT6M" TargetMode="External"/><Relationship Id="rId947" Type="http://schemas.openxmlformats.org/officeDocument/2006/relationships/image" Target="media/image149.wmf"/><Relationship Id="rId1132" Type="http://schemas.openxmlformats.org/officeDocument/2006/relationships/hyperlink" Target="consultantplus://offline/ref=6CE049F5DC23C8FECAAA43E48537996287A328DCF4B03CA7F1F8D2AE5BE3B3EEADB4B7F535FE9A9A5E0600E4E32EFEF6602A97B9CFDFA406XAT6M" TargetMode="External"/><Relationship Id="rId1577" Type="http://schemas.openxmlformats.org/officeDocument/2006/relationships/image" Target="media/image304.wmf"/><Relationship Id="rId1784" Type="http://schemas.openxmlformats.org/officeDocument/2006/relationships/image" Target="media/image481.wmf"/><Relationship Id="rId76" Type="http://schemas.openxmlformats.org/officeDocument/2006/relationships/hyperlink" Target="consultantplus://offline/ref=6CE049F5DC23C8FECAAA43E48537996286A628DCF3BC3CA7F1F8D2AE5BE3B3EEADB4B7F535FE9B9F5C0600E4E32EFEF6602A97B9CFDFA406XAT6M" TargetMode="External"/><Relationship Id="rId807" Type="http://schemas.openxmlformats.org/officeDocument/2006/relationships/image" Target="media/image59.wmf"/><Relationship Id="rId1437" Type="http://schemas.openxmlformats.org/officeDocument/2006/relationships/hyperlink" Target="consultantplus://offline/ref=6CE049F5DC23C8FECAAA43E48537996284A02AD8F1B03CA7F1F8D2AE5BE3B3EEADB4B7F730F990CD0B4901B8A57DEDF46E2A95B1D3XDTDM" TargetMode="External"/><Relationship Id="rId1644" Type="http://schemas.openxmlformats.org/officeDocument/2006/relationships/image" Target="media/image360.wmf"/><Relationship Id="rId1851" Type="http://schemas.openxmlformats.org/officeDocument/2006/relationships/image" Target="media/image534.wmf"/><Relationship Id="rId1504" Type="http://schemas.openxmlformats.org/officeDocument/2006/relationships/hyperlink" Target="consultantplus://offline/ref=6CE049F5DC23C8FECAAA43E48537996284A028D0F6B43CA7F1F8D2AE5BE3B3EEADB4B7F535FE9B98580600E4E32EFEF6602A97B9CFDFA406XAT6M" TargetMode="External"/><Relationship Id="rId1711" Type="http://schemas.openxmlformats.org/officeDocument/2006/relationships/image" Target="media/image418.wmf"/><Relationship Id="rId292" Type="http://schemas.openxmlformats.org/officeDocument/2006/relationships/hyperlink" Target="consultantplus://offline/ref=6CE049F5DC23C8FECAAA43E48537996287A328DCF4B03CA7F1F8D2AE5BE3B3EEADB4B7F535FE9B9E590600E4E32EFEF6602A97B9CFDFA406XAT6M" TargetMode="External"/><Relationship Id="rId1809" Type="http://schemas.openxmlformats.org/officeDocument/2006/relationships/hyperlink" Target="consultantplus://offline/ref=6CE049F5DC23C8FECAAA43E48537996286A729DAFCB03CA7F1F8D2AE5BE3B3EEADB4B7F535FE9B9B5D0600E4E32EFEF6602A97B9CFDFA406XAT6M" TargetMode="External"/><Relationship Id="rId597" Type="http://schemas.openxmlformats.org/officeDocument/2006/relationships/hyperlink" Target="consultantplus://offline/ref=6CE049F5DC23C8FECAAA43E48537996287AA2DDEF7B23CA7F1F8D2AE5BE3B3EEADB4B7F535FE9B9A580600E4E32EFEF6602A97B9CFDFA406XAT6M" TargetMode="External"/><Relationship Id="rId152" Type="http://schemas.openxmlformats.org/officeDocument/2006/relationships/hyperlink" Target="consultantplus://offline/ref=6CE049F5DC23C8FECAAA43E48537996287A02FDEF5B13CA7F1F8D2AE5BE3B3EEADB4B7F535FE9A995C0600E4E32EFEF6602A97B9CFDFA406XAT6M" TargetMode="External"/><Relationship Id="rId457" Type="http://schemas.openxmlformats.org/officeDocument/2006/relationships/image" Target="media/image11.wmf"/><Relationship Id="rId1087" Type="http://schemas.openxmlformats.org/officeDocument/2006/relationships/image" Target="media/image233.wmf"/><Relationship Id="rId1294" Type="http://schemas.openxmlformats.org/officeDocument/2006/relationships/hyperlink" Target="consultantplus://offline/ref=6CE049F5DC23C8FECAAA43E48537996284A02AD8F1B03CA7F1F8D2AE5BE3B3EEADB4B7F535FE9F985E0600E4E32EFEF6602A97B9CFDFA406XAT6M" TargetMode="External"/><Relationship Id="rId664" Type="http://schemas.openxmlformats.org/officeDocument/2006/relationships/hyperlink" Target="consultantplus://offline/ref=6CE049F5DC23C8FECAAA43E48537996287A22AD1F3B13CA7F1F8D2AE5BE3B3EEADB4B7F535FE9B9A5A0600E4E32EFEF6602A97B9CFDFA406XAT6M" TargetMode="External"/><Relationship Id="rId871" Type="http://schemas.openxmlformats.org/officeDocument/2006/relationships/hyperlink" Target="consultantplus://offline/ref=6CE049F5DC23C8FECAAA43E48537996286A22EDDF5B33CA7F1F8D2AE5BE3B3EEADB4B7F535FE9B905E0600E4E32EFEF6602A97B9CFDFA406XAT6M" TargetMode="External"/><Relationship Id="rId969" Type="http://schemas.openxmlformats.org/officeDocument/2006/relationships/hyperlink" Target="consultantplus://offline/ref=6CE049F5DC23C8FECAAA43E48537996286A02BD0F4BD3CA7F1F8D2AE5BE3B3EEADB4B7F535FE9998520600E4E32EFEF6602A97B9CFDFA406XAT6M" TargetMode="External"/><Relationship Id="rId1599" Type="http://schemas.openxmlformats.org/officeDocument/2006/relationships/hyperlink" Target="consultantplus://offline/ref=6CE049F5DC23C8FECAAA43E48537996286A628DCF2B63CA7F1F8D2AE5BE3B3EEADB4B7F535FE989E530600E4E32EFEF6602A97B9CFDFA406XAT6M" TargetMode="External"/><Relationship Id="rId317" Type="http://schemas.openxmlformats.org/officeDocument/2006/relationships/hyperlink" Target="consultantplus://offline/ref=6CE049F5DC23C8FECAAA43E48537996284A52BDCFDB13CA7F1F8D2AE5BE3B3EEADB4B7F535FE9A9D5E0600E4E32EFEF6602A97B9CFDFA406XAT6M" TargetMode="External"/><Relationship Id="rId524" Type="http://schemas.openxmlformats.org/officeDocument/2006/relationships/hyperlink" Target="consultantplus://offline/ref=6CE049F5DC23C8FECAAA43E48537996286A729D8F1B43CA7F1F8D2AE5BE3B3EEADB4B7F535FE9B9A5B0600E4E32EFEF6602A97B9CFDFA406XAT6M" TargetMode="External"/><Relationship Id="rId731" Type="http://schemas.openxmlformats.org/officeDocument/2006/relationships/hyperlink" Target="consultantplus://offline/ref=6CE049F5DC23C8FECAAA43E48537996286A628DDF6B33CA7F1F8D2AE5BE3B3EEADB4B7F535FE9B9D530600E4E32EFEF6602A97B9CFDFA406XAT6M" TargetMode="External"/><Relationship Id="rId1154" Type="http://schemas.openxmlformats.org/officeDocument/2006/relationships/hyperlink" Target="consultantplus://offline/ref=6CE049F5DC23C8FECAAA43E48537996286A628DCF3BC3CA7F1F8D2AE5BE3B3EEADB4B7F535FE9B9F5D0600E4E32EFEF6602A97B9CFDFA406XAT6M" TargetMode="External"/><Relationship Id="rId1361" Type="http://schemas.openxmlformats.org/officeDocument/2006/relationships/hyperlink" Target="consultantplus://offline/ref=6CE049F5DC23C8FECAAA43E48537996284A02AD8F1B03CA7F1F8D2AE5BE3B3EEADB4B7F535FE93995D0600E4E32EFEF6602A97B9CFDFA406XAT6M" TargetMode="External"/><Relationship Id="rId1459" Type="http://schemas.openxmlformats.org/officeDocument/2006/relationships/hyperlink" Target="consultantplus://offline/ref=6CE049F5DC23C8FECAAA43E48537996284A026DDF2B63CA7F1F8D2AE5BE3B3EEADB4B7F535FE93905C0600E4E32EFEF6602A97B9CFDFA406XAT6M" TargetMode="External"/><Relationship Id="rId98" Type="http://schemas.openxmlformats.org/officeDocument/2006/relationships/hyperlink" Target="consultantplus://offline/ref=6CE049F5DC23C8FECAAA43E48537996287A326D1F7B73CA7F1F8D2AE5BE3B3EEADB4B7F535FE9A9B580600E4E32EFEF6602A97B9CFDFA406XAT6M" TargetMode="External"/><Relationship Id="rId829" Type="http://schemas.openxmlformats.org/officeDocument/2006/relationships/image" Target="media/image79.wmf"/><Relationship Id="rId1014" Type="http://schemas.openxmlformats.org/officeDocument/2006/relationships/image" Target="media/image189.wmf"/><Relationship Id="rId1221" Type="http://schemas.openxmlformats.org/officeDocument/2006/relationships/hyperlink" Target="consultantplus://offline/ref=6CE049F5DC23C8FECAAA43E48537996287A328DCF4B03CA7F1F8D2AE5BE3B3EEADB4B7F535FE9F9C5E0600E4E32EFEF6602A97B9CFDFA406XAT6M" TargetMode="External"/><Relationship Id="rId1666" Type="http://schemas.openxmlformats.org/officeDocument/2006/relationships/image" Target="media/image380.wmf"/><Relationship Id="rId1873" Type="http://schemas.openxmlformats.org/officeDocument/2006/relationships/hyperlink" Target="consultantplus://offline/ref=6CE049F5DC23C8FECAAA43E48537996284A32CD1F0BC3CA7F1F8D2AE5BE3B3EEBFB4EFF937F88599521356B5A5X7TBM" TargetMode="External"/><Relationship Id="rId1319" Type="http://schemas.openxmlformats.org/officeDocument/2006/relationships/hyperlink" Target="consultantplus://offline/ref=6CE049F5DC23C8FECAAA43E48537996284A02AD8F1B03CA7F1F8D2AE5BE3B3EEADB4B7F535FE9F9C5D0600E4E32EFEF6602A97B9CFDFA406XAT6M" TargetMode="External"/><Relationship Id="rId1526" Type="http://schemas.openxmlformats.org/officeDocument/2006/relationships/image" Target="media/image255.wmf"/><Relationship Id="rId1733" Type="http://schemas.openxmlformats.org/officeDocument/2006/relationships/image" Target="media/image436.wmf"/><Relationship Id="rId25" Type="http://schemas.openxmlformats.org/officeDocument/2006/relationships/hyperlink" Target="consultantplus://offline/ref=6CE049F5DC23C8FECAAA43E48537996287A229DBFCBC3CA7F1F8D2AE5BE3B3EEADB4B7F535FE9B9C520600E4E32EFEF6602A97B9CFDFA406XAT6M" TargetMode="External"/><Relationship Id="rId1800" Type="http://schemas.openxmlformats.org/officeDocument/2006/relationships/image" Target="media/image496.wmf"/><Relationship Id="rId174" Type="http://schemas.openxmlformats.org/officeDocument/2006/relationships/hyperlink" Target="consultantplus://offline/ref=6CE049F5DC23C8FECAAA43E48537996284A62FDDF4B43CA7F1F8D2AE5BE3B3EEADB4B7F535FE9B9C5A0600E4E32EFEF6602A97B9CFDFA406XAT6M" TargetMode="External"/><Relationship Id="rId381" Type="http://schemas.openxmlformats.org/officeDocument/2006/relationships/hyperlink" Target="consultantplus://offline/ref=6CE049F5DC23C8FECAAA43E48537996287A02FDEF5B13CA7F1F8D2AE5BE3B3EEADB4B7F535FE9A9B590600E4E32EFEF6602A97B9CFDFA406XAT6M" TargetMode="External"/><Relationship Id="rId241" Type="http://schemas.openxmlformats.org/officeDocument/2006/relationships/hyperlink" Target="consultantplus://offline/ref=6CE049F5DC23C8FECAAA43E48537996286A626DBFDB03CA7F1F8D2AE5BE3B3EEADB4B7F535FE9B91520600E4E32EFEF6602A97B9CFDFA406XAT6M" TargetMode="External"/><Relationship Id="rId479" Type="http://schemas.openxmlformats.org/officeDocument/2006/relationships/image" Target="media/image15.wmf"/><Relationship Id="rId686" Type="http://schemas.openxmlformats.org/officeDocument/2006/relationships/hyperlink" Target="consultantplus://offline/ref=6CE049F5DC23C8FECAAA43E48537996286A32CDBF7BD3CA7F1F8D2AE5BE3B3EEADB4B7F535FE9A9D590600E4E32EFEF6602A97B9CFDFA406XAT6M" TargetMode="External"/><Relationship Id="rId893" Type="http://schemas.openxmlformats.org/officeDocument/2006/relationships/image" Target="media/image121.wmf"/><Relationship Id="rId339" Type="http://schemas.openxmlformats.org/officeDocument/2006/relationships/hyperlink" Target="consultantplus://offline/ref=6CE049F5DC23C8FECAAA43E48537996284AA2AD1F6BD3CA7F1F8D2AE5BE3B3EEADB4B7F535FE9B98590600E4E32EFEF6602A97B9CFDFA406XAT6M" TargetMode="External"/><Relationship Id="rId546" Type="http://schemas.openxmlformats.org/officeDocument/2006/relationships/hyperlink" Target="consultantplus://offline/ref=6CE049F5DC23C8FECAAA43E48537996287A226DDF5B13CA7F1F8D2AE5BE3B3EEADB4B7F535FE9A9A530600E4E32EFEF6602A97B9CFDFA406XAT6M" TargetMode="External"/><Relationship Id="rId753" Type="http://schemas.openxmlformats.org/officeDocument/2006/relationships/hyperlink" Target="consultantplus://offline/ref=6CE049F5DC23C8FECAAA43E48537996286A628DDF6B33CA7F1F8D2AE5BE3B3EEADB4B7F535FE9B9F580600E4E32EFEF6602A97B9CFDFA406XAT6M" TargetMode="External"/><Relationship Id="rId1176" Type="http://schemas.openxmlformats.org/officeDocument/2006/relationships/hyperlink" Target="consultantplus://offline/ref=6CE049F5DC23C8FECAAA43E48537996287AA2DDCFCB63CA7F1F8D2AE5BE3B3EEADB4B7F535FE9B9A5E0600E4E32EFEF6602A97B9CFDFA406XAT6M" TargetMode="External"/><Relationship Id="rId1383" Type="http://schemas.openxmlformats.org/officeDocument/2006/relationships/hyperlink" Target="consultantplus://offline/ref=6CE049F5DC23C8FECAAA43E48537996284A02AD8F1B03CA7F1F8D2AE5BE3B3EEADB4B7F535FE9C98520600E4E32EFEF6602A97B9CFDFA406XAT6M" TargetMode="External"/><Relationship Id="rId101" Type="http://schemas.openxmlformats.org/officeDocument/2006/relationships/hyperlink" Target="consultantplus://offline/ref=6CE049F5DC23C8FECAAA43E48537996287A02CDCF1B03CA7F1F8D2AE5BE3B3EEADB4B7F535FE9B99530600E4E32EFEF6602A97B9CFDFA406XAT6M" TargetMode="External"/><Relationship Id="rId406" Type="http://schemas.openxmlformats.org/officeDocument/2006/relationships/hyperlink" Target="consultantplus://offline/ref=6CE049F5DC23C8FECAAA43E48537996286A328DEF7BD3CA7F1F8D2AE5BE3B3EEADB4B7F535FE9B91520600E4E32EFEF6602A97B9CFDFA406XAT6M" TargetMode="External"/><Relationship Id="rId960" Type="http://schemas.openxmlformats.org/officeDocument/2006/relationships/hyperlink" Target="consultantplus://offline/ref=6CE049F5DC23C8FECAAA43E48537996286A22EDDF5B33CA7F1F8D2AE5BE3B3EEADB4B7F535FE9A9B5D0600E4E32EFEF6602A97B9CFDFA406XAT6M" TargetMode="External"/><Relationship Id="rId1036" Type="http://schemas.openxmlformats.org/officeDocument/2006/relationships/image" Target="media/image202.wmf"/><Relationship Id="rId1243" Type="http://schemas.openxmlformats.org/officeDocument/2006/relationships/hyperlink" Target="consultantplus://offline/ref=6CE049F5DC23C8FECAAA43E48537996286A32CD8F6B23CA7F1F8D2AE5BE3B3EEADB4B7F535FF999A5E0600E4E32EFEF6602A97B9CFDFA406XAT6M" TargetMode="External"/><Relationship Id="rId1590" Type="http://schemas.openxmlformats.org/officeDocument/2006/relationships/image" Target="media/image315.wmf"/><Relationship Id="rId1688" Type="http://schemas.openxmlformats.org/officeDocument/2006/relationships/image" Target="media/image397.wmf"/><Relationship Id="rId613" Type="http://schemas.openxmlformats.org/officeDocument/2006/relationships/hyperlink" Target="consultantplus://offline/ref=6CE049F5DC23C8FECAAA43E48537996286A028DCFCB13CA7F1F8D2AE5BE3B3EEADB4B7F535FE9B9A5F0600E4E32EFEF6602A97B9CFDFA406XAT6M" TargetMode="External"/><Relationship Id="rId820" Type="http://schemas.openxmlformats.org/officeDocument/2006/relationships/image" Target="media/image70.wmf"/><Relationship Id="rId918" Type="http://schemas.openxmlformats.org/officeDocument/2006/relationships/image" Target="media/image134.wmf"/><Relationship Id="rId1450" Type="http://schemas.openxmlformats.org/officeDocument/2006/relationships/hyperlink" Target="consultantplus://offline/ref=6CE049F5DC23C8FECAAA43E48537996284A026DDF2B63CA7F1F8D2AE5BE3B3EEADB4B7F535FE9A9C590600E4E32EFEF6602A97B9CFDFA406XAT6M" TargetMode="External"/><Relationship Id="rId1548" Type="http://schemas.openxmlformats.org/officeDocument/2006/relationships/image" Target="media/image276.wmf"/><Relationship Id="rId1755" Type="http://schemas.openxmlformats.org/officeDocument/2006/relationships/image" Target="media/image455.wmf"/><Relationship Id="rId1103" Type="http://schemas.openxmlformats.org/officeDocument/2006/relationships/hyperlink" Target="consultantplus://offline/ref=6CE049F5DC23C8FECAAA43E48537996286A62DD9F1B63CA7F1F8D2AE5BE3B3EEBFB4EFF937F88599521356B5A5X7TBM" TargetMode="External"/><Relationship Id="rId1310" Type="http://schemas.openxmlformats.org/officeDocument/2006/relationships/hyperlink" Target="consultantplus://offline/ref=6CE049F5DC23C8FECAAA43E48537996284A02AD8F1B03CA7F1F8D2AE5BE3B3EEADB4B7F535FE9F9A5D0600E4E32EFEF6602A97B9CFDFA406XAT6M" TargetMode="External"/><Relationship Id="rId1408" Type="http://schemas.openxmlformats.org/officeDocument/2006/relationships/hyperlink" Target="consultantplus://offline/ref=6CE049F5DC23C8FECAAA43E48537996284A02AD8F1B03CA7F1F8D2AE5BE3B3EEADB4B7F535FE92995F0600E4E32EFEF6602A97B9CFDFA406XAT6M" TargetMode="External"/><Relationship Id="rId47" Type="http://schemas.openxmlformats.org/officeDocument/2006/relationships/hyperlink" Target="consultantplus://offline/ref=6CE049F5DC23C8FECAAA43E48537996286A32CDBF7BD3CA7F1F8D2AE5BE3B3EEADB4B7F535FE9A995B0600E4E32EFEF6602A97B9CFDFA406XAT6M" TargetMode="External"/><Relationship Id="rId1615" Type="http://schemas.openxmlformats.org/officeDocument/2006/relationships/image" Target="media/image337.wmf"/><Relationship Id="rId1822" Type="http://schemas.openxmlformats.org/officeDocument/2006/relationships/image" Target="media/image516.wmf"/><Relationship Id="rId196" Type="http://schemas.openxmlformats.org/officeDocument/2006/relationships/hyperlink" Target="consultantplus://offline/ref=6CE049F5DC23C8FECAAA43E48537996287A326D1F7B73CA7F1F8D2AE5BE3B3EEADB4B7F535FE9A9B5D0600E4E32EFEF6602A97B9CFDFA406XAT6M" TargetMode="External"/><Relationship Id="rId263" Type="http://schemas.openxmlformats.org/officeDocument/2006/relationships/hyperlink" Target="consultantplus://offline/ref=6CE049F5DC23C8FECAAA43E48537996286A72ED9F7B63CA7F1F8D2AE5BE3B3EEADB4B7F535FE9B9A5D0600E4E32EFEF6602A97B9CFDFA406XAT6M" TargetMode="External"/><Relationship Id="rId470" Type="http://schemas.openxmlformats.org/officeDocument/2006/relationships/hyperlink" Target="consultantplus://offline/ref=6CE049F5DC23C8FECAAA43E48537996284A52BDCFDB13CA7F1F8D2AE5BE3B3EEADB4B7F535FE99995B0600E4E32EFEF6602A97B9CFDFA406XAT6M" TargetMode="External"/><Relationship Id="rId123" Type="http://schemas.openxmlformats.org/officeDocument/2006/relationships/hyperlink" Target="consultantplus://offline/ref=6CE049F5DC23C8FECAAA43E48537996284A52BDCFDB13CA7F1F8D2AE5BE3B3EEADB4B7F535FE9A99530600E4E32EFEF6602A97B9CFDFA406XAT6M" TargetMode="External"/><Relationship Id="rId330" Type="http://schemas.openxmlformats.org/officeDocument/2006/relationships/hyperlink" Target="consultantplus://offline/ref=6CE049F5DC23C8FECAAA43E48537996284A52BDFF1BC3CA7F1F8D2AE5BE3B3EEADB4B7F535FE9B985B0600E4E32EFEF6602A97B9CFDFA406XAT6M" TargetMode="External"/><Relationship Id="rId568" Type="http://schemas.openxmlformats.org/officeDocument/2006/relationships/hyperlink" Target="consultantplus://offline/ref=6CE049F5DC23C8FECAAA43E48537996286A028DCFCB13CA7F1F8D2AE5BE3B3EEADB4B7F535FE9B9B5E0600E4E32EFEF6602A97B9CFDFA406XAT6M" TargetMode="External"/><Relationship Id="rId775" Type="http://schemas.openxmlformats.org/officeDocument/2006/relationships/image" Target="media/image33.wmf"/><Relationship Id="rId982" Type="http://schemas.openxmlformats.org/officeDocument/2006/relationships/hyperlink" Target="consultantplus://offline/ref=6CE049F5DC23C8FECAAA43E48537996286A22EDDF5B33CA7F1F8D2AE5BE3B3EEADB4B7F535FE9A9A5C0600E4E32EFEF6602A97B9CFDFA406XAT6M" TargetMode="External"/><Relationship Id="rId1198" Type="http://schemas.openxmlformats.org/officeDocument/2006/relationships/hyperlink" Target="consultantplus://offline/ref=6CE049F5DC23C8FECAAA43E48537996287A328DCF4B03CA7F1F8D2AE5BE3B3EEADB4B7F535FE989B520600E4E32EFEF6602A97B9CFDFA406XAT6M" TargetMode="External"/><Relationship Id="rId428" Type="http://schemas.openxmlformats.org/officeDocument/2006/relationships/hyperlink" Target="consultantplus://offline/ref=6CE049F5DC23C8FECAAA43E48537996286A02ADBFDB63CA7F1F8D2AE5BE3B3EEADB4B7F535FE9B98580600E4E32EFEF6602A97B9CFDFA406XAT6M" TargetMode="External"/><Relationship Id="rId635" Type="http://schemas.openxmlformats.org/officeDocument/2006/relationships/hyperlink" Target="consultantplus://offline/ref=6CE049F5DC23C8FECAAA43E48537996286A32CDBF7BD3CA7F1F8D2AE5BE3B3EEADB4B7F535FE9A9B5C0600E4E32EFEF6602A97B9CFDFA406XAT6M" TargetMode="External"/><Relationship Id="rId842" Type="http://schemas.openxmlformats.org/officeDocument/2006/relationships/image" Target="media/image91.wmf"/><Relationship Id="rId1058" Type="http://schemas.openxmlformats.org/officeDocument/2006/relationships/hyperlink" Target="consultantplus://offline/ref=6CE049F5DC23C8FECAAA43E48537996286A22EDDF5B33CA7F1F8D2AE5BE3B3EEADB4B7F535FE9A9F520600E4E32EFEF6602A97B9CFDFA406XAT6M" TargetMode="External"/><Relationship Id="rId1265" Type="http://schemas.openxmlformats.org/officeDocument/2006/relationships/hyperlink" Target="consultantplus://offline/ref=6CE049F5DC23C8FECAAA43E48537996284A02ADBF0B53CA7F1F8D2AE5BE3B3EEADB4B7F033F5CFC81E5859B7A165F3FC783697B3XDT1M" TargetMode="External"/><Relationship Id="rId1472" Type="http://schemas.openxmlformats.org/officeDocument/2006/relationships/hyperlink" Target="consultantplus://offline/ref=6CE049F5DC23C8FECAAA43E48537996284A026DDF2B13CA7F1F8D2AE5BE3B3EEADB4B7F535FE9B9D5D0600E4E32EFEF6602A97B9CFDFA406XAT6M" TargetMode="External"/><Relationship Id="rId702" Type="http://schemas.openxmlformats.org/officeDocument/2006/relationships/hyperlink" Target="consultantplus://offline/ref=6CE049F5DC23C8FECAAA43E48537996284A62FDDF4B43CA7F1F8D2AE5BE3B3EEADB4B7F535FE999B590600E4E32EFEF6602A97B9CFDFA406XAT6M" TargetMode="External"/><Relationship Id="rId1125" Type="http://schemas.openxmlformats.org/officeDocument/2006/relationships/hyperlink" Target="consultantplus://offline/ref=6CE049F5DC23C8FECAAA43E48537996286A72ED9F7B63CA7F1F8D2AE5BE3B3EEADB4B7F535FE9F9A580600E4E32EFEF6602A97B9CFDFA406XAT6M" TargetMode="External"/><Relationship Id="rId1332" Type="http://schemas.openxmlformats.org/officeDocument/2006/relationships/hyperlink" Target="consultantplus://offline/ref=6CE049F5DC23C8FECAAA43E48537996284A02AD8F1B03CA7F1F8D2AE5BE3B3EEADB4B7F535FE9E995B0600E4E32EFEF6602A97B9CFDFA406XAT6M" TargetMode="External"/><Relationship Id="rId1777" Type="http://schemas.openxmlformats.org/officeDocument/2006/relationships/image" Target="media/image475.wmf"/><Relationship Id="rId69" Type="http://schemas.openxmlformats.org/officeDocument/2006/relationships/hyperlink" Target="consultantplus://offline/ref=6CE049F5DC23C8FECAAA43E48537996286A32EDAF0B63CA7F1F8D2AE5BE3B3EEADB4B7F535FE9B985A0600E4E32EFEF6602A97B9CFDFA406XAT6M" TargetMode="External"/><Relationship Id="rId1637" Type="http://schemas.openxmlformats.org/officeDocument/2006/relationships/image" Target="media/image355.wmf"/><Relationship Id="rId1844" Type="http://schemas.openxmlformats.org/officeDocument/2006/relationships/hyperlink" Target="consultantplus://offline/ref=6CE049F5DC23C8FECAAA43E48537996286A729DAFCB03CA7F1F8D2AE5BE3B3EEADB4B7F535FE9B9B5D0600E4E32EFEF6602A97B9CFDFA406XAT6M" TargetMode="External"/><Relationship Id="rId1704" Type="http://schemas.openxmlformats.org/officeDocument/2006/relationships/image" Target="media/image411.wmf"/><Relationship Id="rId285" Type="http://schemas.openxmlformats.org/officeDocument/2006/relationships/hyperlink" Target="consultantplus://offline/ref=6CE049F5DC23C8FECAAA43E48537996287A229D9FDB23CA7F1F8D2AE5BE3B3EEADB4B7F535FE9B9D5D0600E4E32EFEF6602A97B9CFDFA406XAT6M" TargetMode="External"/><Relationship Id="rId492" Type="http://schemas.openxmlformats.org/officeDocument/2006/relationships/hyperlink" Target="consultantplus://offline/ref=6CE049F5DC23C8FECAAA43E48537996286A628DCF2B63CA7F1F8D2AE5BE3B3EEADB4B7F535FE9C9E5C0600E4E32EFEF6602A97B9CFDFA406XAT6M" TargetMode="External"/><Relationship Id="rId797" Type="http://schemas.openxmlformats.org/officeDocument/2006/relationships/image" Target="media/image49.wmf"/><Relationship Id="rId145" Type="http://schemas.openxmlformats.org/officeDocument/2006/relationships/hyperlink" Target="consultantplus://offline/ref=6CE049F5DC23C8FECAAA43E48537996287A326D1F7B73CA7F1F8D2AE5BE3B3EEADB4B7F535FE9A9B590600E4E32EFEF6602A97B9CFDFA406XAT6M" TargetMode="External"/><Relationship Id="rId352" Type="http://schemas.openxmlformats.org/officeDocument/2006/relationships/hyperlink" Target="consultantplus://offline/ref=6CE049F5DC23C8FECAAA43E48537996287A02FDEF5B13CA7F1F8D2AE5BE3B3EEADB4B7F535FE9A99530600E4E32EFEF6602A97B9CFDFA406XAT6M" TargetMode="External"/><Relationship Id="rId1287" Type="http://schemas.openxmlformats.org/officeDocument/2006/relationships/hyperlink" Target="consultantplus://offline/ref=6CE049F5DC23C8FECAAA43E48537996284A02AD8F1B03CA7F1F8D2AE5BE3B3EEADB4B7F535FE98905B0600E4E32EFEF6602A97B9CFDFA406XAT6M" TargetMode="External"/><Relationship Id="rId212" Type="http://schemas.openxmlformats.org/officeDocument/2006/relationships/hyperlink" Target="consultantplus://offline/ref=6CE049F5DC23C8FECAAA43E48537996284A727D0F4B33CA7F1F8D2AE5BE3B3EEADB4B7F535FE9B9F590600E4E32EFEF6602A97B9CFDFA406XAT6M" TargetMode="External"/><Relationship Id="rId657" Type="http://schemas.openxmlformats.org/officeDocument/2006/relationships/hyperlink" Target="consultantplus://offline/ref=6CE049F5DC23C8FECAAA43E48537996284A52CD9F4B53CA7F1F8D2AE5BE3B3EEADB4B7F53EAACADD0F0056B3B97BFBEA643495XBT1M" TargetMode="External"/><Relationship Id="rId864" Type="http://schemas.openxmlformats.org/officeDocument/2006/relationships/hyperlink" Target="consultantplus://offline/ref=6CE049F5DC23C8FECAAA43E48537996286A22EDDF5B33CA7F1F8D2AE5BE3B3EEADB4B7F535FE9B90580600E4E32EFEF6602A97B9CFDFA406XAT6M" TargetMode="External"/><Relationship Id="rId1494" Type="http://schemas.openxmlformats.org/officeDocument/2006/relationships/hyperlink" Target="consultantplus://offline/ref=6CE049F5DC23C8FECAAA43E48537996284A026DDF2B13CA7F1F8D2AE5BE3B3EEADB4B7F535FE9E91530600E4E32EFEF6602A97B9CFDFA406XAT6M" TargetMode="External"/><Relationship Id="rId1799" Type="http://schemas.openxmlformats.org/officeDocument/2006/relationships/image" Target="media/image495.wmf"/><Relationship Id="rId517" Type="http://schemas.openxmlformats.org/officeDocument/2006/relationships/hyperlink" Target="consultantplus://offline/ref=6CE049F5DC23C8FECAAA43E48537996284A52BDCFDB13CA7F1F8D2AE5BE3B3EEADB4B7F535FE9998520600E4E32EFEF6602A97B9CFDFA406XAT6M" TargetMode="External"/><Relationship Id="rId724" Type="http://schemas.openxmlformats.org/officeDocument/2006/relationships/hyperlink" Target="consultantplus://offline/ref=6CE049F5DC23C8FECAAA43E48537996287A226DDF5B13CA7F1F8D2AE5BE3B3EEADB4B7F535FE9A9F5B0600E4E32EFEF6602A97B9CFDFA406XAT6M" TargetMode="External"/><Relationship Id="rId931" Type="http://schemas.openxmlformats.org/officeDocument/2006/relationships/hyperlink" Target="consultantplus://offline/ref=6CE049F5DC23C8FECAAA43E48537996287A02FDEF5B13CA7F1F8D2AE5BE3B3EEADB4B7F535FE9A9C580600E4E32EFEF6602A97B9CFDFA406XAT6M" TargetMode="External"/><Relationship Id="rId1147" Type="http://schemas.openxmlformats.org/officeDocument/2006/relationships/hyperlink" Target="consultantplus://offline/ref=6CE049F5DC23C8FECAAA43E48537996287A02FDEF5B13CA7F1F8D2AE5BE3B3EEADB4B7F535FE9A9F5F0600E4E32EFEF6602A97B9CFDFA406XAT6M" TargetMode="External"/><Relationship Id="rId1354" Type="http://schemas.openxmlformats.org/officeDocument/2006/relationships/hyperlink" Target="consultantplus://offline/ref=6CE049F5DC23C8FECAAA43E48537996284A02AD8F1B03CA7F1F8D2AE5BE3B3EEADB4B7F535FE9C905C0600E4E32EFEF6602A97B9CFDFA406XAT6M" TargetMode="External"/><Relationship Id="rId1561" Type="http://schemas.openxmlformats.org/officeDocument/2006/relationships/image" Target="media/image289.wmf"/><Relationship Id="rId60" Type="http://schemas.openxmlformats.org/officeDocument/2006/relationships/hyperlink" Target="consultantplus://offline/ref=6CE049F5DC23C8FECAAA43E48537996286A328DEF7BD3CA7F1F8D2AE5BE3B3EEADB4B7F535FE9B9F530600E4E32EFEF6602A97B9CFDFA406XAT6M" TargetMode="External"/><Relationship Id="rId1007" Type="http://schemas.openxmlformats.org/officeDocument/2006/relationships/image" Target="media/image184.wmf"/><Relationship Id="rId1214" Type="http://schemas.openxmlformats.org/officeDocument/2006/relationships/hyperlink" Target="consultantplus://offline/ref=6CE049F5DC23C8FECAAA43E48537996287A328DCF4B03CA7F1F8D2AE5BE3B3EEADB4B7F535FE9F9B5B0600E4E32EFEF6602A97B9CFDFA406XAT6M" TargetMode="External"/><Relationship Id="rId1421" Type="http://schemas.openxmlformats.org/officeDocument/2006/relationships/hyperlink" Target="consultantplus://offline/ref=6CE049F5DC23C8FECAAA43E48537996284A02AD8F1B03CA7F1F8D2AE5BE3B3EEADB4B7F530F790CD0B4901B8A57DEDF46E2A95B1D3XDTDM" TargetMode="External"/><Relationship Id="rId1659" Type="http://schemas.openxmlformats.org/officeDocument/2006/relationships/image" Target="media/image375.wmf"/><Relationship Id="rId1866" Type="http://schemas.openxmlformats.org/officeDocument/2006/relationships/hyperlink" Target="consultantplus://offline/ref=6CE049F5DC23C8FECAAA43E48537996284A32DDCF0B03CA7F1F8D2AE5BE3B3EEADB4B7F535FE9B9A5F0600E4E32EFEF6602A97B9CFDFA406XAT6M" TargetMode="External"/><Relationship Id="rId1519" Type="http://schemas.openxmlformats.org/officeDocument/2006/relationships/hyperlink" Target="consultantplus://offline/ref=6CE049F5DC23C8FECAAA43E48537996284A028D0F6B43CA7F1F8D2AE5BE3B3EEADB4B7F535FE9B9A5A0600E4E32EFEF6602A97B9CFDFA406XAT6M" TargetMode="External"/><Relationship Id="rId1726" Type="http://schemas.openxmlformats.org/officeDocument/2006/relationships/hyperlink" Target="consultantplus://offline/ref=6CE049F5DC23C8FECAAA43E48537996284A028D0F6B43CA7F1F8D2AE5BE3B3EEADB4B7F535FE9A9D5D0600E4E32EFEF6602A97B9CFDFA406XAT6M" TargetMode="External"/><Relationship Id="rId18" Type="http://schemas.openxmlformats.org/officeDocument/2006/relationships/hyperlink" Target="consultantplus://offline/ref=6CE049F5DC23C8FECAAA43E48537996286A128DEF7B43CA7F1F8D2AE5BE3B3EEADB4B7F535FE9A9E5F0600E4E32EFEF6602A97B9CFDFA406XAT6M" TargetMode="External"/><Relationship Id="rId167" Type="http://schemas.openxmlformats.org/officeDocument/2006/relationships/hyperlink" Target="consultantplus://offline/ref=6CE049F5DC23C8FECAAA43E48537996284A62FDDF4B43CA7F1F8D2AE5BE3B3EEADB4B7F535FE9B9D5F0600E4E32EFEF6602A97B9CFDFA406XAT6M" TargetMode="External"/><Relationship Id="rId374" Type="http://schemas.openxmlformats.org/officeDocument/2006/relationships/hyperlink" Target="consultantplus://offline/ref=6CE049F5DC23C8FECAAA43E48537996286A729DAFCB03CA7F1F8D2AE5BE3B3EEADB4B7F037F5CFC81E5859B7A165F3FC783697B3XDT1M" TargetMode="External"/><Relationship Id="rId581" Type="http://schemas.openxmlformats.org/officeDocument/2006/relationships/hyperlink" Target="consultantplus://offline/ref=6CE049F5DC23C8FECAAA43E48537996287A22AD1F3B13CA7F1F8D2AE5BE3B3EEADB4B7F535FE9B985A0600E4E32EFEF6602A97B9CFDFA406XAT6M" TargetMode="External"/><Relationship Id="rId234" Type="http://schemas.openxmlformats.org/officeDocument/2006/relationships/hyperlink" Target="consultantplus://offline/ref=6CE049F5DC23C8FECAAA43E48537996286A628DCF2B63CA7F1F8D2AE5BE3B3EEADB4B7F535FE989E530600E4E32EFEF6602A97B9CFDFA406XAT6M" TargetMode="External"/><Relationship Id="rId679" Type="http://schemas.openxmlformats.org/officeDocument/2006/relationships/hyperlink" Target="consultantplus://offline/ref=6CE049F5DC23C8FECAAA43E48537996287A22AD1F3B13CA7F1F8D2AE5BE3B3EEADB4B7F535FE9B9A520600E4E32EFEF6602A97B9CFDFA406XAT6M" TargetMode="External"/><Relationship Id="rId886" Type="http://schemas.openxmlformats.org/officeDocument/2006/relationships/hyperlink" Target="consultantplus://offline/ref=6CE049F5DC23C8FECAAA43E48537996286A22EDDF5B33CA7F1F8D2AE5BE3B3EEADB4B7F535FE9B90530600E4E32EFEF6602A97B9CFDFA406XAT6M" TargetMode="External"/><Relationship Id="rId2" Type="http://schemas.microsoft.com/office/2007/relationships/stylesWithEffects" Target="stylesWithEffects.xml"/><Relationship Id="rId441" Type="http://schemas.openxmlformats.org/officeDocument/2006/relationships/hyperlink" Target="consultantplus://offline/ref=6CE049F5DC23C8FECAAA43E48537996286A729DAFCB03CA7F1F8D2AE5BE3B3EEADB4B7F535FE9B9B5D0600E4E32EFEF6602A97B9CFDFA406XAT6M" TargetMode="External"/><Relationship Id="rId539" Type="http://schemas.openxmlformats.org/officeDocument/2006/relationships/hyperlink" Target="consultantplus://offline/ref=6CE049F5DC23C8FECAAA43E48537996286A729D8F1B43CA7F1F8D2AE5BE3B3EEADB4B7F535FE9B9A5B0600E4E32EFEF6602A97B9CFDFA406XAT6M" TargetMode="External"/><Relationship Id="rId746" Type="http://schemas.openxmlformats.org/officeDocument/2006/relationships/hyperlink" Target="consultantplus://offline/ref=6CE049F5DC23C8FECAAA43E48537996286A729DAFCB03CA7F1F8D2AE5BE3B3EEADB4B7F535FE9B9B5D0600E4E32EFEF6602A97B9CFDFA406XAT6M" TargetMode="External"/><Relationship Id="rId1071" Type="http://schemas.openxmlformats.org/officeDocument/2006/relationships/hyperlink" Target="consultantplus://offline/ref=6CE049F5DC23C8FECAAA43E48537996286A02BD0F4BD3CA7F1F8D2AE5BE3B3EEADB4B7F535FE999A5F0600E4E32EFEF6602A97B9CFDFA406XAT6M" TargetMode="External"/><Relationship Id="rId1169" Type="http://schemas.openxmlformats.org/officeDocument/2006/relationships/hyperlink" Target="consultantplus://offline/ref=6CE049F5DC23C8FECAAA43E48537996286A32CD8F6B23CA7F1F8D2AE5BE3B3EEADB4B7F535FF9999530600E4E32EFEF6602A97B9CFDFA406XAT6M" TargetMode="External"/><Relationship Id="rId1376" Type="http://schemas.openxmlformats.org/officeDocument/2006/relationships/hyperlink" Target="consultantplus://offline/ref=6CE049F5DC23C8FECAAA43E48537996286A628DDF2B73CA7F1F8D2AE5BE3B3EEADB4B7F535FE9B995D0600E4E32EFEF6602A97B9CFDFA406XAT6M" TargetMode="External"/><Relationship Id="rId1583" Type="http://schemas.openxmlformats.org/officeDocument/2006/relationships/image" Target="media/image309.wmf"/><Relationship Id="rId301" Type="http://schemas.openxmlformats.org/officeDocument/2006/relationships/hyperlink" Target="consultantplus://offline/ref=6CE049F5DC23C8FECAAA43E48537996284A52BDCFDB13CA7F1F8D2AE5BE3B3EEADB4B7F535FE9A9B5C0600E4E32EFEF6602A97B9CFDFA406XAT6M" TargetMode="External"/><Relationship Id="rId953" Type="http://schemas.openxmlformats.org/officeDocument/2006/relationships/image" Target="media/image154.wmf"/><Relationship Id="rId1029" Type="http://schemas.openxmlformats.org/officeDocument/2006/relationships/image" Target="media/image198.wmf"/><Relationship Id="rId1236" Type="http://schemas.openxmlformats.org/officeDocument/2006/relationships/hyperlink" Target="consultantplus://offline/ref=6CE049F5DC23C8FECAAA43E48537996286A32EDAF0B63CA7F1F8D2AE5BE3B3EEADB4B7F535FE9B9D530600E4E32EFEF6602A97B9CFDFA406XAT6M" TargetMode="External"/><Relationship Id="rId1790" Type="http://schemas.openxmlformats.org/officeDocument/2006/relationships/image" Target="media/image487.wmf"/><Relationship Id="rId82" Type="http://schemas.openxmlformats.org/officeDocument/2006/relationships/hyperlink" Target="consultantplus://offline/ref=6CE049F5DC23C8FECAAA43E48537996284A52AD0F6BC3CA7F1F8D2AE5BE3B3EEADB4B7F535FE9B9D5A0600E4E32EFEF6602A97B9CFDFA406XAT6M" TargetMode="External"/><Relationship Id="rId606" Type="http://schemas.openxmlformats.org/officeDocument/2006/relationships/hyperlink" Target="consultantplus://offline/ref=6CE049F5DC23C8FECAAA43E48537996287AA2DDEF7B23CA7F1F8D2AE5BE3B3EEADB4B7F535FE9B9A530600E4E32EFEF6602A97B9CFDFA406XAT6M" TargetMode="External"/><Relationship Id="rId813" Type="http://schemas.openxmlformats.org/officeDocument/2006/relationships/image" Target="media/image65.wmf"/><Relationship Id="rId1443" Type="http://schemas.openxmlformats.org/officeDocument/2006/relationships/hyperlink" Target="consultantplus://offline/ref=6CE049F5DC23C8FECAAA43E48537996284A026DDF2B63CA7F1F8D2AE5BE3B3EEADB4B7F535FE9B9E580600E4E32EFEF6602A97B9CFDFA406XAT6M" TargetMode="External"/><Relationship Id="rId1650" Type="http://schemas.openxmlformats.org/officeDocument/2006/relationships/image" Target="media/image366.wmf"/><Relationship Id="rId1748" Type="http://schemas.openxmlformats.org/officeDocument/2006/relationships/image" Target="media/image448.wmf"/><Relationship Id="rId1303" Type="http://schemas.openxmlformats.org/officeDocument/2006/relationships/hyperlink" Target="consultantplus://offline/ref=6CE049F5DC23C8FECAAA43E48537996284A02AD8F1B03CA7F1F8D2AE5BE3B3EEADB4B7F535FE9F9B580600E4E32EFEF6602A97B9CFDFA406XAT6M" TargetMode="External"/><Relationship Id="rId1510" Type="http://schemas.openxmlformats.org/officeDocument/2006/relationships/hyperlink" Target="consultantplus://offline/ref=6CE049F5DC23C8FECAAA43E48537996284A028D0F6B43CA7F1F8D2AE5BE3B3EEADB4B7F535FE9B9B5A0600E4E32EFEF6602A97B9CFDFA406XAT6M" TargetMode="External"/><Relationship Id="rId1608" Type="http://schemas.openxmlformats.org/officeDocument/2006/relationships/image" Target="media/image330.wmf"/><Relationship Id="rId1815" Type="http://schemas.openxmlformats.org/officeDocument/2006/relationships/image" Target="media/image509.wmf"/><Relationship Id="rId189" Type="http://schemas.openxmlformats.org/officeDocument/2006/relationships/hyperlink" Target="consultantplus://offline/ref=6CE049F5DC23C8FECAAA43E48537996284A727D0F4B33CA7F1F8D2AE5BE3B3EEADB4B7F535FE9B9C5F0600E4E32EFEF6602A97B9CFDFA406XAT6M" TargetMode="External"/><Relationship Id="rId396" Type="http://schemas.openxmlformats.org/officeDocument/2006/relationships/hyperlink" Target="consultantplus://offline/ref=6CE049F5DC23C8FECAAA43E48537996286A729DAFCB03CA7F1F8D2AE5BE3B3EEADB4B7F535FE9B9B5D0600E4E32EFEF6602A97B9CFDFA406XAT6M" TargetMode="External"/><Relationship Id="rId256" Type="http://schemas.openxmlformats.org/officeDocument/2006/relationships/hyperlink" Target="consultantplus://offline/ref=6CE049F5DC23C8FECAAA43E48537996286A628DCF2B63CA7F1F8D2AE5BE3B3EEADB4B7F535FE989E530600E4E32EFEF6602A97B9CFDFA406XAT6M" TargetMode="External"/><Relationship Id="rId463" Type="http://schemas.openxmlformats.org/officeDocument/2006/relationships/hyperlink" Target="consultantplus://offline/ref=6CE049F5DC23C8FECAAA43E48537996284A52BDCFDB13CA7F1F8D2AE5BE3B3EEADB4B7F535FE9A905C0600E4E32EFEF6602A97B9CFDFA406XAT6M" TargetMode="External"/><Relationship Id="rId670" Type="http://schemas.openxmlformats.org/officeDocument/2006/relationships/hyperlink" Target="consultantplus://offline/ref=6CE049F5DC23C8FECAAA43E48537996287A22AD1F3B13CA7F1F8D2AE5BE3B3EEADB4B7F535FE9B9A590600E4E32EFEF6602A97B9CFDFA406XAT6M" TargetMode="External"/><Relationship Id="rId1093" Type="http://schemas.openxmlformats.org/officeDocument/2006/relationships/image" Target="media/image239.wmf"/><Relationship Id="rId116" Type="http://schemas.openxmlformats.org/officeDocument/2006/relationships/hyperlink" Target="consultantplus://offline/ref=6CE049F5DC23C8FECAAA43E48537996286A626DBFDB03CA7F1F8D2AE5BE3B3EEADB4B7F535FE9B9F580600E4E32EFEF6602A97B9CFDFA406XAT6M" TargetMode="External"/><Relationship Id="rId323" Type="http://schemas.openxmlformats.org/officeDocument/2006/relationships/hyperlink" Target="consultantplus://offline/ref=6CE049F5DC23C8FECAAA43E48537996286A72ED1F3B43CA7F1F8D2AE5BE3B3EEADB4B7F535FE9B985E0600E4E32EFEF6602A97B9CFDFA406XAT6M" TargetMode="External"/><Relationship Id="rId530" Type="http://schemas.openxmlformats.org/officeDocument/2006/relationships/hyperlink" Target="consultantplus://offline/ref=6CE049F5DC23C8FECAAA43E48537996286A729DAFCB03CA7F1F8D2AE5BE3B3EEADB4B7F535FE9B9B5D0600E4E32EFEF6602A97B9CFDFA406XAT6M" TargetMode="External"/><Relationship Id="rId768" Type="http://schemas.openxmlformats.org/officeDocument/2006/relationships/hyperlink" Target="consultantplus://offline/ref=6CE049F5DC23C8FECAAA43E48537996286A328DEF7BD3CA7F1F8D2AE5BE3B3EEADB4B7F535FE9A9E5A0600E4E32EFEF6602A97B9CFDFA406XAT6M" TargetMode="External"/><Relationship Id="rId975" Type="http://schemas.openxmlformats.org/officeDocument/2006/relationships/image" Target="media/image166.wmf"/><Relationship Id="rId1160" Type="http://schemas.openxmlformats.org/officeDocument/2006/relationships/hyperlink" Target="consultantplus://offline/ref=6CE049F5DC23C8FECAAA43E48537996286A32CD8F6B23CA7F1F8D2AE5BE3B3EEADB4B7F535FF9999520600E4E32EFEF6602A97B9CFDFA406XAT6M" TargetMode="External"/><Relationship Id="rId1398" Type="http://schemas.openxmlformats.org/officeDocument/2006/relationships/hyperlink" Target="consultantplus://offline/ref=6CE049F5DC23C8FECAAA43E48537996284A02AD8F1B03CA7F1F8D2AE5BE3B3EEADB4B7F535FE9C9A590600E4E32EFEF6602A97B9CFDFA406XAT6M" TargetMode="External"/><Relationship Id="rId628" Type="http://schemas.openxmlformats.org/officeDocument/2006/relationships/hyperlink" Target="consultantplus://offline/ref=6CE049F5DC23C8FECAAA43E48537996287A22AD1F3B13CA7F1F8D2AE5BE3B3EEADB4B7F535FE9B98590600E4E32EFEF6602A97B9CFDFA406XAT6M" TargetMode="External"/><Relationship Id="rId835" Type="http://schemas.openxmlformats.org/officeDocument/2006/relationships/image" Target="media/image85.wmf"/><Relationship Id="rId1258" Type="http://schemas.openxmlformats.org/officeDocument/2006/relationships/hyperlink" Target="consultantplus://offline/ref=6CE049F5DC23C8FECAAA43E48537996286A628DAF2BD3CA7F1F8D2AE5BE3B3EEADB4B7F535FE9B99520600E4E32EFEF6602A97B9CFDFA406XAT6M" TargetMode="External"/><Relationship Id="rId1465" Type="http://schemas.openxmlformats.org/officeDocument/2006/relationships/hyperlink" Target="consultantplus://offline/ref=6CE049F5DC23C8FECAAA43E48537996284A026DDF2B63CA7F1F8D2AE5BE3B3EEADB4B7F535FE929D5F0600E4E32EFEF6602A97B9CFDFA406XAT6M" TargetMode="External"/><Relationship Id="rId1672" Type="http://schemas.openxmlformats.org/officeDocument/2006/relationships/image" Target="media/image385.wmf"/><Relationship Id="rId1020" Type="http://schemas.openxmlformats.org/officeDocument/2006/relationships/hyperlink" Target="consultantplus://offline/ref=6CE049F5DC23C8FECAAA43E48537996286A02BD0F4BD3CA7F1F8D2AE5BE3B3EEADB4B7F535FE999B5C0600E4E32EFEF6602A97B9CFDFA406XAT6M" TargetMode="External"/><Relationship Id="rId1118" Type="http://schemas.openxmlformats.org/officeDocument/2006/relationships/hyperlink" Target="consultantplus://offline/ref=6CE049F5DC23C8FECAAA43E48537996286A02AD9F1B53CA7F1F8D2AE5BE3B3EEADB4B7F535FE9E9D5D0600E4E32EFEF6602A97B9CFDFA406XAT6M" TargetMode="External"/><Relationship Id="rId1325" Type="http://schemas.openxmlformats.org/officeDocument/2006/relationships/hyperlink" Target="consultantplus://offline/ref=6CE049F5DC23C8FECAAA43E48537996284A02AD8F1B03CA7F1F8D2AE5BE3B3EEADB4B7F535FE929C5D0600E4E32EFEF6602A97B9CFDFA406XAT6M" TargetMode="External"/><Relationship Id="rId1532" Type="http://schemas.openxmlformats.org/officeDocument/2006/relationships/hyperlink" Target="consultantplus://offline/ref=6CE049F5DC23C8FECAAA43E48537996286A628D1FCB73CA7F1F8D2AE5BE3B3EEADB4B7F535FE9B9D5D0600E4E32EFEF6602A97B9CFDFA406XAT6M" TargetMode="External"/><Relationship Id="rId902" Type="http://schemas.openxmlformats.org/officeDocument/2006/relationships/image" Target="media/image125.wmf"/><Relationship Id="rId1837" Type="http://schemas.openxmlformats.org/officeDocument/2006/relationships/image" Target="media/image527.wmf"/><Relationship Id="rId31" Type="http://schemas.openxmlformats.org/officeDocument/2006/relationships/hyperlink" Target="consultantplus://offline/ref=6CE049F5DC23C8FECAAA43E48537996287A329DEF5BD3CA7F1F8D2AE5BE3B3EEADB4B7F535FE9B9A520600E4E32EFEF6602A97B9CFDFA406XAT6M" TargetMode="External"/><Relationship Id="rId180" Type="http://schemas.openxmlformats.org/officeDocument/2006/relationships/hyperlink" Target="consultantplus://offline/ref=6CE049F5DC23C8FECAAA43E48537996287A326D1F7B73CA7F1F8D2AE5BE3B3EEADB4B7F535FE9A9B5C0600E4E32EFEF6602A97B9CFDFA406XAT6M" TargetMode="External"/><Relationship Id="rId278" Type="http://schemas.openxmlformats.org/officeDocument/2006/relationships/hyperlink" Target="consultantplus://offline/ref=6CE049F5DC23C8FECAAA43E48537996286A729DAFCB03CA7F1F8D2AE5BE3B3EEADB4B7F535FE9B9B5D0600E4E32EFEF6602A97B9CFDFA406XAT6M" TargetMode="External"/><Relationship Id="rId485" Type="http://schemas.openxmlformats.org/officeDocument/2006/relationships/image" Target="media/image21.wmf"/><Relationship Id="rId692" Type="http://schemas.openxmlformats.org/officeDocument/2006/relationships/hyperlink" Target="consultantplus://offline/ref=6CE049F5DC23C8FECAAA43E48537996286A729DAFCB03CA7F1F8D2AE5BE3B3EEADB4B7F535FE9B9B5D0600E4E32EFEF6602A97B9CFDFA406XAT6M" TargetMode="External"/><Relationship Id="rId138" Type="http://schemas.openxmlformats.org/officeDocument/2006/relationships/hyperlink" Target="consultantplus://offline/ref=6CE049F5DC23C8FECAAA43E48537996286A729DAFCB03CA7F1F8D2AE5BE3B3EEADB4B7F535FE9291580600E4E32EFEF6602A97B9CFDFA406XAT6M" TargetMode="External"/><Relationship Id="rId345" Type="http://schemas.openxmlformats.org/officeDocument/2006/relationships/hyperlink" Target="consultantplus://offline/ref=6CE049F5DC23C8FECAAA43E48537996286A328DEF7BD3CA7F1F8D2AE5BE3B3EEADB4B7F535FE9B9E5E0600E4E32EFEF6602A97B9CFDFA406XAT6M" TargetMode="External"/><Relationship Id="rId552" Type="http://schemas.openxmlformats.org/officeDocument/2006/relationships/hyperlink" Target="consultantplus://offline/ref=6CE049F5DC23C8FECAAA43E48537996287A226DDF5B13CA7F1F8D2AE5BE3B3EEADB4B7F535FE9A9D590600E4E32EFEF6602A97B9CFDFA406XAT6M" TargetMode="External"/><Relationship Id="rId997" Type="http://schemas.openxmlformats.org/officeDocument/2006/relationships/image" Target="media/image180.wmf"/><Relationship Id="rId1182" Type="http://schemas.openxmlformats.org/officeDocument/2006/relationships/hyperlink" Target="consultantplus://offline/ref=6CE049F5DC23C8FECAAA43E48537996287A328DCF4B03CA7F1F8D2AE5BE3B3EEADB4B7F535FE99985E0600E4E32EFEF6602A97B9CFDFA406XAT6M" TargetMode="External"/><Relationship Id="rId205" Type="http://schemas.openxmlformats.org/officeDocument/2006/relationships/hyperlink" Target="consultantplus://offline/ref=6CE049F5DC23C8FECAAA43E48537996286A626DBFDB03CA7F1F8D2AE5BE3B3EEADB4B7F535FE9B9E590600E4E32EFEF6602A97B9CFDFA406XAT6M" TargetMode="External"/><Relationship Id="rId412" Type="http://schemas.openxmlformats.org/officeDocument/2006/relationships/hyperlink" Target="consultantplus://offline/ref=6CE049F5DC23C8FECAAA43E48537996286A328DEF7BD3CA7F1F8D2AE5BE3B3EEADB4B7F535FE9B905B0600E4E32EFEF6602A97B9CFDFA406XAT6M" TargetMode="External"/><Relationship Id="rId857" Type="http://schemas.openxmlformats.org/officeDocument/2006/relationships/image" Target="media/image100.wmf"/><Relationship Id="rId1042" Type="http://schemas.openxmlformats.org/officeDocument/2006/relationships/hyperlink" Target="consultantplus://offline/ref=6CE049F5DC23C8FECAAA43E48537996286A22EDDF5B33CA7F1F8D2AE5BE3B3EEADB4B7F535FE9A9F5A0600E4E32EFEF6602A97B9CFDFA406XAT6M" TargetMode="External"/><Relationship Id="rId1487" Type="http://schemas.openxmlformats.org/officeDocument/2006/relationships/hyperlink" Target="consultantplus://offline/ref=6CE049F5DC23C8FECAAA43E48537996284A026DDF2B13CA7F1F8D2AE5BE3B3EEADB4B7F535FE9E995E0600E4E32EFEF6602A97B9CFDFA406XAT6M" TargetMode="External"/><Relationship Id="rId1694" Type="http://schemas.openxmlformats.org/officeDocument/2006/relationships/hyperlink" Target="consultantplus://offline/ref=6CE049F5DC23C8FECAAA43E48537996286A628D1FCB73CA7F1F8D2AE5BE3B3EEADB4B7F535FE9B9D5D0600E4E32EFEF6602A97B9CFDFA406XAT6M" TargetMode="External"/><Relationship Id="rId717" Type="http://schemas.openxmlformats.org/officeDocument/2006/relationships/hyperlink" Target="consultantplus://offline/ref=6CE049F5DC23C8FECAAA43E48537996284A62FDDF5B53CA7F1F8D2AE5BE3B3EEADB4B7F535FE9B98590600E4E32EFEF6602A97B9CFDFA406XAT6M" TargetMode="External"/><Relationship Id="rId924" Type="http://schemas.openxmlformats.org/officeDocument/2006/relationships/hyperlink" Target="consultantplus://offline/ref=6CE049F5DC23C8FECAAA43E48537996286A22EDDF5B33CA7F1F8D2AE5BE3B3EEADB4B7F535FE9A98580600E4E32EFEF6602A97B9CFDFA406XAT6M" TargetMode="External"/><Relationship Id="rId1347" Type="http://schemas.openxmlformats.org/officeDocument/2006/relationships/hyperlink" Target="consultantplus://offline/ref=6CE049F5DC23C8FECAAA43E48537996284A02AD8F1B03CA7F1F8D2AE5BE3B3EEADB4B7F535FE9C91530600E4E32EFEF6602A97B9CFDFA406XAT6M" TargetMode="External"/><Relationship Id="rId1554" Type="http://schemas.openxmlformats.org/officeDocument/2006/relationships/image" Target="media/image282.wmf"/><Relationship Id="rId1761" Type="http://schemas.openxmlformats.org/officeDocument/2006/relationships/image" Target="media/image461.wmf"/><Relationship Id="rId53" Type="http://schemas.openxmlformats.org/officeDocument/2006/relationships/hyperlink" Target="consultantplus://offline/ref=6CE049F5DC23C8FECAAA43E48537996286A628DAF2BD3CA7F1F8D2AE5BE3B3EEADB4B7F535FE9B99520600E4E32EFEF6602A97B9CFDFA406XAT6M" TargetMode="External"/><Relationship Id="rId1207" Type="http://schemas.openxmlformats.org/officeDocument/2006/relationships/hyperlink" Target="consultantplus://offline/ref=6CE049F5DC23C8FECAAA43E48537996287A328DCF4B03CA7F1F8D2AE5BE3B3EEADB4B7F535FE989E590600E4E32EFEF6602A97B9CFDFA406XAT6M" TargetMode="External"/><Relationship Id="rId1414" Type="http://schemas.openxmlformats.org/officeDocument/2006/relationships/hyperlink" Target="consultantplus://offline/ref=6CE049F5DC23C8FECAAA43E48537996284A02AD8F1B03CA7F1F8D2AE5BE3B3EEADB4B7F537FC90CD0B4901B8A57DEDF46E2A95B1D3XDTDM" TargetMode="External"/><Relationship Id="rId1621" Type="http://schemas.openxmlformats.org/officeDocument/2006/relationships/image" Target="media/image342.wmf"/><Relationship Id="rId1859" Type="http://schemas.openxmlformats.org/officeDocument/2006/relationships/hyperlink" Target="consultantplus://offline/ref=6CE049F5DC23C8FECAAA43E48537996284A32DDCFCB13CA7F1F8D2AE5BE3B3EEBFB4EFF937F88599521356B5A5X7TBM" TargetMode="External"/><Relationship Id="rId1719" Type="http://schemas.openxmlformats.org/officeDocument/2006/relationships/image" Target="media/image426.wmf"/><Relationship Id="rId367" Type="http://schemas.openxmlformats.org/officeDocument/2006/relationships/hyperlink" Target="consultantplus://offline/ref=6CE049F5DC23C8FECAAA43E48537996286A729DAFCB03CA7F1F8D2AE5BE3B3EEADB4B7F535FE9B9B5D0600E4E32EFEF6602A97B9CFDFA406XAT6M" TargetMode="External"/><Relationship Id="rId574" Type="http://schemas.openxmlformats.org/officeDocument/2006/relationships/hyperlink" Target="consultantplus://offline/ref=6CE049F5DC23C8FECAAA43E48537996287AA2DDEF7B23CA7F1F8D2AE5BE3B3EEADB4B7F535FE9B9B5E0600E4E32EFEF6602A97B9CFDFA406XAT6M" TargetMode="External"/><Relationship Id="rId227" Type="http://schemas.openxmlformats.org/officeDocument/2006/relationships/hyperlink" Target="consultantplus://offline/ref=6CE049F5DC23C8FECAAA43E48537996287A227DCF1BD3CA7F1F8D2AE5BE3B3EEADB4B7F535FE9B985F0600E4E32EFEF6602A97B9CFDFA406XAT6M" TargetMode="External"/><Relationship Id="rId781" Type="http://schemas.openxmlformats.org/officeDocument/2006/relationships/image" Target="media/image36.wmf"/><Relationship Id="rId879" Type="http://schemas.openxmlformats.org/officeDocument/2006/relationships/image" Target="media/image113.wmf"/><Relationship Id="rId434" Type="http://schemas.openxmlformats.org/officeDocument/2006/relationships/hyperlink" Target="consultantplus://offline/ref=6CE049F5DC23C8FECAAA43E48537996284A62FDDF4B43CA7F1F8D2AE5BE3B3EEADB4B7F535FE9B9F5E0600E4E32EFEF6602A97B9CFDFA406XAT6M" TargetMode="External"/><Relationship Id="rId641" Type="http://schemas.openxmlformats.org/officeDocument/2006/relationships/hyperlink" Target="consultantplus://offline/ref=6CE049F5DC23C8FECAAA43E48537996287A22AD1F3B13CA7F1F8D2AE5BE3B3EEADB4B7F535FE9B9B5E0600E4E32EFEF6602A97B9CFDFA406XAT6M" TargetMode="External"/><Relationship Id="rId739" Type="http://schemas.openxmlformats.org/officeDocument/2006/relationships/hyperlink" Target="consultantplus://offline/ref=6CE049F5DC23C8FECAAA43E48537996284A62FDDF5B53CA7F1F8D2AE5BE3B3EEADB4B7F535FE9B9B5F0600E4E32EFEF6602A97B9CFDFA406XAT6M" TargetMode="External"/><Relationship Id="rId1064" Type="http://schemas.openxmlformats.org/officeDocument/2006/relationships/image" Target="media/image216.wmf"/><Relationship Id="rId1271" Type="http://schemas.openxmlformats.org/officeDocument/2006/relationships/hyperlink" Target="consultantplus://offline/ref=6CE049F5DC23C8FECAAA43E48537996284A02ADBF0B53CA7F1F8D2AE5BE3B3EEADB4B7F535FE9B985A0600E4E32EFEF6602A97B9CFDFA406XAT6M" TargetMode="External"/><Relationship Id="rId1369" Type="http://schemas.openxmlformats.org/officeDocument/2006/relationships/hyperlink" Target="consultantplus://offline/ref=6CE049F5DC23C8FECAAA43E48537996284A02AD8F1B03CA7F1F8D2AE5BE3B3EEADB4B7F535FE939B580600E4E32EFEF6602A97B9CFDFA406XAT6M" TargetMode="External"/><Relationship Id="rId1576" Type="http://schemas.openxmlformats.org/officeDocument/2006/relationships/image" Target="media/image303.wmf"/><Relationship Id="rId501" Type="http://schemas.openxmlformats.org/officeDocument/2006/relationships/hyperlink" Target="consultantplus://offline/ref=6CE049F5DC23C8FECAAA43E48537996287A328DCF4B03CA7F1F8D2AE5BE3B3EEADB4B7F535FE9B90520600E4E32EFEF6602A97B9CFDFA406XAT6M" TargetMode="External"/><Relationship Id="rId946" Type="http://schemas.openxmlformats.org/officeDocument/2006/relationships/image" Target="media/image148.wmf"/><Relationship Id="rId1131" Type="http://schemas.openxmlformats.org/officeDocument/2006/relationships/hyperlink" Target="consultantplus://offline/ref=6CE049F5DC23C8FECAAA43E48537996286A72ED9F7B63CA7F1F8D2AE5BE3B3EEADB4B7F535FE9F9A5F0600E4E32EFEF6602A97B9CFDFA406XAT6M" TargetMode="External"/><Relationship Id="rId1229" Type="http://schemas.openxmlformats.org/officeDocument/2006/relationships/hyperlink" Target="consultantplus://offline/ref=6CE049F5DC23C8FECAAA43E48537996286A32CD8F6B23CA7F1F8D2AE5BE3B3EEADB4B7F535FF99985F0600E4E32EFEF6602A97B9CFDFA406XAT6M" TargetMode="External"/><Relationship Id="rId1783" Type="http://schemas.openxmlformats.org/officeDocument/2006/relationships/image" Target="media/image480.wmf"/><Relationship Id="rId75" Type="http://schemas.openxmlformats.org/officeDocument/2006/relationships/hyperlink" Target="consultantplus://offline/ref=6CE049F5DC23C8FECAAA43E48537996284A72FDAF6B03CA7F1F8D2AE5BE3B3EEADB4B7F535FE9B985D0600E4E32EFEF6602A97B9CFDFA406XAT6M" TargetMode="External"/><Relationship Id="rId806" Type="http://schemas.openxmlformats.org/officeDocument/2006/relationships/image" Target="media/image58.wmf"/><Relationship Id="rId1436" Type="http://schemas.openxmlformats.org/officeDocument/2006/relationships/hyperlink" Target="consultantplus://offline/ref=6CE049F5DC23C8FECAAA43E48537996284A02AD8F1B03CA7F1F8D2AE5BE3B3EEADB4B7F731F690CD0B4901B8A57DEDF46E2A95B1D3XDTDM" TargetMode="External"/><Relationship Id="rId1643" Type="http://schemas.openxmlformats.org/officeDocument/2006/relationships/hyperlink" Target="consultantplus://offline/ref=6CE049F5DC23C8FECAAA43E48537996286A628D1FCB73CA7F1F8D2AE5BE3B3EEADB4B7F535FE9B9D5D0600E4E32EFEF6602A97B9CFDFA406XAT6M" TargetMode="External"/><Relationship Id="rId1850" Type="http://schemas.openxmlformats.org/officeDocument/2006/relationships/image" Target="media/image533.wmf"/><Relationship Id="rId1503" Type="http://schemas.openxmlformats.org/officeDocument/2006/relationships/hyperlink" Target="consultantplus://offline/ref=6CE049F5DC23C8FECAAA43E48537996284A026DDF2B13CA7F1F8D2AE5BE3B3EEADB4B7F535FE9D915E0600E4E32EFEF6602A97B9CFDFA406XAT6M" TargetMode="External"/><Relationship Id="rId1710" Type="http://schemas.openxmlformats.org/officeDocument/2006/relationships/image" Target="media/image417.wmf"/><Relationship Id="rId291" Type="http://schemas.openxmlformats.org/officeDocument/2006/relationships/hyperlink" Target="consultantplus://offline/ref=6CE049F5DC23C8FECAAA43E48537996286A229D0F3B43CA7F1F8D2AE5BE3B3EEADB4B7F535FE9B9F530600E4E32EFEF6602A97B9CFDFA406XAT6M" TargetMode="External"/><Relationship Id="rId1808" Type="http://schemas.openxmlformats.org/officeDocument/2006/relationships/image" Target="media/image503.wmf"/><Relationship Id="rId151" Type="http://schemas.openxmlformats.org/officeDocument/2006/relationships/hyperlink" Target="consultantplus://offline/ref=6CE049F5DC23C8FECAAA43E48537996287A328DCF4B03CA7F1F8D2AE5BE3B3EEADB4B7F535FE9B9C5E0600E4E32EFEF6602A97B9CFDFA406XAT6M" TargetMode="External"/><Relationship Id="rId389" Type="http://schemas.openxmlformats.org/officeDocument/2006/relationships/hyperlink" Target="consultantplus://offline/ref=6CE049F5DC23C8FECAAA43E48537996287A02FDEF5B13CA7F1F8D2AE5BE3B3EEADB4B7F535FE9A9A5E0600E4E32EFEF6602A97B9CFDFA406XAT6M" TargetMode="External"/><Relationship Id="rId596" Type="http://schemas.openxmlformats.org/officeDocument/2006/relationships/hyperlink" Target="consultantplus://offline/ref=6CE049F5DC23C8FECAAA43E48537996286A028DCFCB13CA7F1F8D2AE5BE3B3EEADB4B7F535FE9B9A5A0600E4E32EFEF6602A97B9CFDFA406XAT6M" TargetMode="External"/><Relationship Id="rId249" Type="http://schemas.openxmlformats.org/officeDocument/2006/relationships/hyperlink" Target="consultantplus://offline/ref=6CE049F5DC23C8FECAAA43E48537996286A628DCF2B63CA7F1F8D2AE5BE3B3EEADB4B7F635FA99920E5C10E0AA79F5EA663C89B3D1DFXAT4M" TargetMode="External"/><Relationship Id="rId456" Type="http://schemas.openxmlformats.org/officeDocument/2006/relationships/image" Target="media/image10.wmf"/><Relationship Id="rId663" Type="http://schemas.openxmlformats.org/officeDocument/2006/relationships/hyperlink" Target="consultantplus://offline/ref=6CE049F5DC23C8FECAAA43E48537996286A728D1F2B33CA7F1F8D2AE5BE3B3EEBFB4EFF937F88599521356B5A5X7TBM" TargetMode="External"/><Relationship Id="rId870" Type="http://schemas.openxmlformats.org/officeDocument/2006/relationships/hyperlink" Target="consultantplus://offline/ref=6CE049F5DC23C8FECAAA43E48537996286A628D1FCB73CA7F1F8D2AE5BE3B3EEADB4B7F535FE9B9D5D0600E4E32EFEF6602A97B9CFDFA406XAT6M" TargetMode="External"/><Relationship Id="rId1086" Type="http://schemas.openxmlformats.org/officeDocument/2006/relationships/image" Target="media/image232.wmf"/><Relationship Id="rId1293" Type="http://schemas.openxmlformats.org/officeDocument/2006/relationships/hyperlink" Target="consultantplus://offline/ref=6CE049F5DC23C8FECAAA43E48537996284A02AD8F1B03CA7F1F8D2AE5BE3B3EEADB4B7F535FE9F98580600E4E32EFEF6602A97B9CFDFA406XAT6M" TargetMode="External"/><Relationship Id="rId109" Type="http://schemas.openxmlformats.org/officeDocument/2006/relationships/hyperlink" Target="consultantplus://offline/ref=6CE049F5DC23C8FECAAA43E48537996286A229D0F3B43CA7F1F8D2AE5BE3B3EEADB4B7F535FE9B9C530600E4E32EFEF6602A97B9CFDFA406XAT6M" TargetMode="External"/><Relationship Id="rId316" Type="http://schemas.openxmlformats.org/officeDocument/2006/relationships/hyperlink" Target="consultantplus://offline/ref=6CE049F5DC23C8FECAAA43E48537996286A72ED9F7B63CA7F1F8D2AE5BE3B3EEADB4B7F535FE9B9C5F0600E4E32EFEF6602A97B9CFDFA406XAT6M" TargetMode="External"/><Relationship Id="rId523" Type="http://schemas.openxmlformats.org/officeDocument/2006/relationships/hyperlink" Target="consultantplus://offline/ref=6CE049F5DC23C8FECAAA43E48537996286A62DD9F1B63CA7F1F8D2AE5BE3B3EEBFB4EFF937F88599521356B5A5X7TBM" TargetMode="External"/><Relationship Id="rId968" Type="http://schemas.openxmlformats.org/officeDocument/2006/relationships/image" Target="media/image163.wmf"/><Relationship Id="rId1153" Type="http://schemas.openxmlformats.org/officeDocument/2006/relationships/hyperlink" Target="consultantplus://offline/ref=6CE049F5DC23C8FECAAA43E48537996284A62FDDF4B43CA7F1F8D2AE5BE3B3EEADB4B7F535FE999C5F0600E4E32EFEF6602A97B9CFDFA406XAT6M" TargetMode="External"/><Relationship Id="rId1598" Type="http://schemas.openxmlformats.org/officeDocument/2006/relationships/image" Target="media/image321.wmf"/><Relationship Id="rId97" Type="http://schemas.openxmlformats.org/officeDocument/2006/relationships/hyperlink" Target="consultantplus://offline/ref=6CE049F5DC23C8FECAAA43E48537996287A328DCF4B03CA7F1F8D2AE5BE3B3EEADB4B7F535FE9B9C580600E4E32EFEF6602A97B9CFDFA406XAT6M" TargetMode="External"/><Relationship Id="rId730" Type="http://schemas.openxmlformats.org/officeDocument/2006/relationships/hyperlink" Target="consultantplus://offline/ref=6CE049F5DC23C8FECAAA43E48537996287A226DDF5B13CA7F1F8D2AE5BE3B3EEADB4B7F535FE9A9F590600E4E32EFEF6602A97B9CFDFA406XAT6M" TargetMode="External"/><Relationship Id="rId828" Type="http://schemas.openxmlformats.org/officeDocument/2006/relationships/image" Target="media/image78.wmf"/><Relationship Id="rId1013" Type="http://schemas.openxmlformats.org/officeDocument/2006/relationships/image" Target="media/image188.wmf"/><Relationship Id="rId1360" Type="http://schemas.openxmlformats.org/officeDocument/2006/relationships/hyperlink" Target="consultantplus://offline/ref=6CE049F5DC23C8FECAAA43E48537996284A02AD8F1B03CA7F1F8D2AE5BE3B3EEADB4B7F535FE93995D0600E4E32EFEF6602A97B9CFDFA406XAT6M" TargetMode="External"/><Relationship Id="rId1458" Type="http://schemas.openxmlformats.org/officeDocument/2006/relationships/hyperlink" Target="consultantplus://offline/ref=6CE049F5DC23C8FECAAA43E48537996284A026DDF2B63CA7F1F8D2AE5BE3B3EEADB4B7F535FE93915B0600E4E32EFEF6602A97B9CFDFA406XAT6M" TargetMode="External"/><Relationship Id="rId1665" Type="http://schemas.openxmlformats.org/officeDocument/2006/relationships/image" Target="media/image379.wmf"/><Relationship Id="rId1872" Type="http://schemas.openxmlformats.org/officeDocument/2006/relationships/hyperlink" Target="consultantplus://offline/ref=6CE049F5DC23C8FECAAA43E48537996284A32BDBF1B23CA7F1F8D2AE5BE3B3EEADB4B7F535FE9298520600E4E32EFEF6602A97B9CFDFA406XAT6M" TargetMode="External"/><Relationship Id="rId1220" Type="http://schemas.openxmlformats.org/officeDocument/2006/relationships/hyperlink" Target="consultantplus://offline/ref=6CE049F5DC23C8FECAAA43E48537996287A328DCF4B03CA7F1F8D2AE5BE3B3EEADB4B7F535FE9F9D520600E4E32EFEF6602A97B9CFDFA406XAT6M" TargetMode="External"/><Relationship Id="rId1318" Type="http://schemas.openxmlformats.org/officeDocument/2006/relationships/hyperlink" Target="consultantplus://offline/ref=6CE049F5DC23C8FECAAA43E48537996284A02AD8F1B03CA7F1F8D2AE5BE3B3EEADB4B7F535FE9F9C5F0600E4E32EFEF6602A97B9CFDFA406XAT6M" TargetMode="External"/><Relationship Id="rId1525" Type="http://schemas.openxmlformats.org/officeDocument/2006/relationships/hyperlink" Target="consultantplus://offline/ref=6CE049F5DC23C8FECAAA43E48537996286A628D1FCB73CA7F1F8D2AE5BE3B3EEADB4B7F535FE9B9D5D0600E4E32EFEF6602A97B9CFDFA406XAT6M" TargetMode="External"/><Relationship Id="rId1732" Type="http://schemas.openxmlformats.org/officeDocument/2006/relationships/image" Target="media/image435.wmf"/><Relationship Id="rId24" Type="http://schemas.openxmlformats.org/officeDocument/2006/relationships/hyperlink" Target="consultantplus://offline/ref=6CE049F5DC23C8FECAAA43E48537996287A22AD1F3B13CA7F1F8D2AE5BE3B3EEADB4B7F535FE9B995F0600E4E32EFEF6602A97B9CFDFA406XAT6M" TargetMode="External"/><Relationship Id="rId173" Type="http://schemas.openxmlformats.org/officeDocument/2006/relationships/hyperlink" Target="consultantplus://offline/ref=6CE049F5DC23C8FECAAA43E48537996286A628DCF2B63CA7F1F8D2AE5BE3B3EEADB4B7F535FE989E530600E4E32EFEF6602A97B9CFDFA406XAT6M" TargetMode="External"/><Relationship Id="rId380" Type="http://schemas.openxmlformats.org/officeDocument/2006/relationships/hyperlink" Target="consultantplus://offline/ref=6CE049F5DC23C8FECAAA43E48537996287A02FDEF5B13CA7F1F8D2AE5BE3B3EEADB4B7F535FE9A9B5A0600E4E32EFEF6602A97B9CFDFA406XAT6M" TargetMode="External"/><Relationship Id="rId240" Type="http://schemas.openxmlformats.org/officeDocument/2006/relationships/hyperlink" Target="consultantplus://offline/ref=6CE049F5DC23C8FECAAA43E48537996286A628DDF2B73CA7F1F8D2AE5BE3B3EEADB4B7F535FE9B9E5A0600E4E32EFEF6602A97B9CFDFA406XAT6M" TargetMode="External"/><Relationship Id="rId478" Type="http://schemas.openxmlformats.org/officeDocument/2006/relationships/hyperlink" Target="consultantplus://offline/ref=6CE049F5DC23C8FECAAA43E48537996286A628DCF2B63CA7F1F8D2AE5BE3B3EEADB4B7F535FE989E530600E4E32EFEF6602A97B9CFDFA406XAT6M" TargetMode="External"/><Relationship Id="rId685" Type="http://schemas.openxmlformats.org/officeDocument/2006/relationships/hyperlink" Target="consultantplus://offline/ref=6CE049F5DC23C8FECAAA43E48537996284A62FDDF4B43CA7F1F8D2AE5BE3B3EEADB4B7F535FE9A915F0600E4E32EFEF6602A97B9CFDFA406XAT6M" TargetMode="External"/><Relationship Id="rId892" Type="http://schemas.openxmlformats.org/officeDocument/2006/relationships/hyperlink" Target="consultantplus://offline/ref=6CE049F5DC23C8FECAAA43E48537996287A02FDEF5B13CA7F1F8D2AE5BE3B3EEADB4B7F535FE9A9D5D0600E4E32EFEF6602A97B9CFDFA406XAT6M" TargetMode="External"/><Relationship Id="rId100" Type="http://schemas.openxmlformats.org/officeDocument/2006/relationships/hyperlink" Target="consultantplus://offline/ref=6CE049F5DC23C8FECAAA43E48537996286A02BD0F4BD3CA7F1F8D2AE5BE3B3EEADB4B7F535FE9A9E5E0600E4E32EFEF6602A97B9CFDFA406XAT6M" TargetMode="External"/><Relationship Id="rId338" Type="http://schemas.openxmlformats.org/officeDocument/2006/relationships/hyperlink" Target="consultantplus://offline/ref=6CE049F5DC23C8FECAAA43E48537996286A72ED9F7B63CA7F1F8D2AE5BE3B3EEADB4B7F535FE9B9C520600E4E32EFEF6602A97B9CFDFA406XAT6M" TargetMode="External"/><Relationship Id="rId545" Type="http://schemas.openxmlformats.org/officeDocument/2006/relationships/hyperlink" Target="consultantplus://offline/ref=6CE049F5DC23C8FECAAA43E48537996287A226DDF5B13CA7F1F8D2AE5BE3B3EEADB4B7F535FE9A9A5D0600E4E32EFEF6602A97B9CFDFA406XAT6M" TargetMode="External"/><Relationship Id="rId752" Type="http://schemas.openxmlformats.org/officeDocument/2006/relationships/hyperlink" Target="consultantplus://offline/ref=6CE049F5DC23C8FECAAA43E48537996286A628DDF6B33CA7F1F8D2AE5BE3B3EEADB4B7F535FE9B9F5A0600E4E32EFEF6602A97B9CFDFA406XAT6M" TargetMode="External"/><Relationship Id="rId1175" Type="http://schemas.openxmlformats.org/officeDocument/2006/relationships/hyperlink" Target="consultantplus://offline/ref=6CE049F5DC23C8FECAAA43E48537996287A328DCF4B03CA7F1F8D2AE5BE3B3EEADB4B7F535FE9A9E5D0600E4E32EFEF6602A97B9CFDFA406XAT6M" TargetMode="External"/><Relationship Id="rId1382" Type="http://schemas.openxmlformats.org/officeDocument/2006/relationships/hyperlink" Target="consultantplus://offline/ref=6CE049F5DC23C8FECAAA43E48537996284A02AD8F1B03CA7F1F8D2AE5BE3B3EEADB4B7F535FE9C985C0600E4E32EFEF6602A97B9CFDFA406XAT6M" TargetMode="External"/><Relationship Id="rId405" Type="http://schemas.openxmlformats.org/officeDocument/2006/relationships/hyperlink" Target="consultantplus://offline/ref=6CE049F5DC23C8FECAAA43E48537996284A72FDAF6B03CA7F1F8D2AE5BE3B3EEADB4B7F535FE9B9B5A0600E4E32EFEF6602A97B9CFDFA406XAT6M" TargetMode="External"/><Relationship Id="rId612" Type="http://schemas.openxmlformats.org/officeDocument/2006/relationships/hyperlink" Target="consultantplus://offline/ref=6CE049F5DC23C8FECAAA43E48537996287AA2DDEF7B23CA7F1F8D2AE5BE3B3EEADB4B7F535FE9B9D5E0600E4E32EFEF6602A97B9CFDFA406XAT6M" TargetMode="External"/><Relationship Id="rId1035" Type="http://schemas.openxmlformats.org/officeDocument/2006/relationships/hyperlink" Target="consultantplus://offline/ref=6CE049F5DC23C8FECAAA43E48537996286A22EDDF5B33CA7F1F8D2AE5BE3B3EEADB4B7F535FE9A9C5F0600E4E32EFEF6602A97B9CFDFA406XAT6M" TargetMode="External"/><Relationship Id="rId1242" Type="http://schemas.openxmlformats.org/officeDocument/2006/relationships/hyperlink" Target="consultantplus://offline/ref=6CE049F5DC23C8FECAAA43E48537996286A229D0F3B43CA7F1F8D2AE5BE3B3EEADB4B7F535FE9B9E5E0600E4E32EFEF6602A97B9CFDFA406XAT6M" TargetMode="External"/><Relationship Id="rId1687" Type="http://schemas.openxmlformats.org/officeDocument/2006/relationships/hyperlink" Target="consultantplus://offline/ref=6CE049F5DC23C8FECAAA43E48537996286A628DCF2B63CA7F1F8D2AE5BE3B3EEADB4B7F535FE989E530600E4E32EFEF6602A97B9CFDFA406XAT6M" TargetMode="External"/><Relationship Id="rId917" Type="http://schemas.openxmlformats.org/officeDocument/2006/relationships/hyperlink" Target="consultantplus://offline/ref=6CE049F5DC23C8FECAAA43E48537996286A02BD0F4BD3CA7F1F8D2AE5BE3B3EEADB4B7F535FE99995F0600E4E32EFEF6602A97B9CFDFA406XAT6M" TargetMode="External"/><Relationship Id="rId1102" Type="http://schemas.openxmlformats.org/officeDocument/2006/relationships/hyperlink" Target="consultantplus://offline/ref=6CE049F5DC23C8FECAAA43E48537996286A62DD9F1B63CA7F1F8D2AE5BE3B3EEBFB4EFF937F88599521356B5A5X7TBM" TargetMode="External"/><Relationship Id="rId1547" Type="http://schemas.openxmlformats.org/officeDocument/2006/relationships/image" Target="media/image275.wmf"/><Relationship Id="rId1754" Type="http://schemas.openxmlformats.org/officeDocument/2006/relationships/image" Target="media/image454.wmf"/><Relationship Id="rId46" Type="http://schemas.openxmlformats.org/officeDocument/2006/relationships/hyperlink" Target="consultantplus://offline/ref=6CE049F5DC23C8FECAAA43E48537996286A228D1F2B53CA7F1F8D2AE5BE3B3EEADB4B7F535FE9B9A5C0600E4E32EFEF6602A97B9CFDFA406XAT6M" TargetMode="External"/><Relationship Id="rId1407" Type="http://schemas.openxmlformats.org/officeDocument/2006/relationships/hyperlink" Target="consultantplus://offline/ref=6CE049F5DC23C8FECAAA43E48537996284A02AD8F1B03CA7F1F8D2AE5BE3B3EEADB4B7F535FE9390530600E4E32EFEF6602A97B9CFDFA406XAT6M" TargetMode="External"/><Relationship Id="rId1614" Type="http://schemas.openxmlformats.org/officeDocument/2006/relationships/image" Target="media/image336.wmf"/><Relationship Id="rId1821" Type="http://schemas.openxmlformats.org/officeDocument/2006/relationships/image" Target="media/image515.wmf"/><Relationship Id="rId195" Type="http://schemas.openxmlformats.org/officeDocument/2006/relationships/hyperlink" Target="consultantplus://offline/ref=6CE049F5DC23C8FECAAA43E48537996284A727D0F4B33CA7F1F8D2AE5BE3B3EEADB4B7F535FE9B9C5C0600E4E32EFEF6602A97B9CFDFA406XAT6M" TargetMode="External"/><Relationship Id="rId262" Type="http://schemas.openxmlformats.org/officeDocument/2006/relationships/hyperlink" Target="consultantplus://offline/ref=6CE049F5DC23C8FECAAA43E48537996287A328DCF4B03CA7F1F8D2AE5BE3B3EEADB4B7F535FE9B9F5D0600E4E32EFEF6602A97B9CFDFA406XAT6M" TargetMode="External"/><Relationship Id="rId567" Type="http://schemas.openxmlformats.org/officeDocument/2006/relationships/hyperlink" Target="consultantplus://offline/ref=6CE049F5DC23C8FECAAA43E48537996284A52CD9F4B53CA7F1F8D2AE5BE3B3EEADB4B7F53EAACADD0F0056B3B97BFBEA643495XBT1M" TargetMode="External"/><Relationship Id="rId1197" Type="http://schemas.openxmlformats.org/officeDocument/2006/relationships/hyperlink" Target="consultantplus://offline/ref=6CE049F5DC23C8FECAAA43E48537996287A328DCF4B03CA7F1F8D2AE5BE3B3EEADB4B7F535FE98985B0600E4E32EFEF6602A97B9CFDFA406XAT6M" TargetMode="External"/><Relationship Id="rId122" Type="http://schemas.openxmlformats.org/officeDocument/2006/relationships/hyperlink" Target="consultantplus://offline/ref=6CE049F5DC23C8FECAAA43E48537996286A72DDCF2B33CA7F1F8D2AE5BE3B3EEADB4B7F535FE9B9E5E0600E4E32EFEF6602A97B9CFDFA406XAT6M" TargetMode="External"/><Relationship Id="rId774" Type="http://schemas.openxmlformats.org/officeDocument/2006/relationships/image" Target="media/image32.wmf"/><Relationship Id="rId981" Type="http://schemas.openxmlformats.org/officeDocument/2006/relationships/image" Target="media/image170.wmf"/><Relationship Id="rId1057" Type="http://schemas.openxmlformats.org/officeDocument/2006/relationships/hyperlink" Target="consultantplus://offline/ref=6CE049F5DC23C8FECAAA43E48537996287A02FDEF5B13CA7F1F8D2AE5BE3B3EEADB4B7F535FE9A9F580600E4E32EFEF6602A97B9CFDFA406XAT6M" TargetMode="External"/><Relationship Id="rId427" Type="http://schemas.openxmlformats.org/officeDocument/2006/relationships/hyperlink" Target="consultantplus://offline/ref=6CE049F5DC23C8FECAAA43E48537996286A729DAFCB03CA7F1F8D2AE5BE3B3EEADB4B7F535FE9B9B5D0600E4E32EFEF6602A97B9CFDFA406XAT6M" TargetMode="External"/><Relationship Id="rId634" Type="http://schemas.openxmlformats.org/officeDocument/2006/relationships/hyperlink" Target="consultantplus://offline/ref=6CE049F5DC23C8FECAAA43E48537996287A22AD1F3B13CA7F1F8D2AE5BE3B3EEADB4B7F535FE9B98530600E4E32EFEF6602A97B9CFDFA406XAT6M" TargetMode="External"/><Relationship Id="rId841" Type="http://schemas.openxmlformats.org/officeDocument/2006/relationships/image" Target="media/image90.wmf"/><Relationship Id="rId1264" Type="http://schemas.openxmlformats.org/officeDocument/2006/relationships/hyperlink" Target="consultantplus://offline/ref=6CE049F5DC23C8FECAAA43E48537996284A02ADBF0B53CA7F1F8D2AE5BE3B3EEADB4B7F63CF5CFC81E5859B7A165F3FC783697B3XDT1M" TargetMode="External"/><Relationship Id="rId1471" Type="http://schemas.openxmlformats.org/officeDocument/2006/relationships/hyperlink" Target="consultantplus://offline/ref=6CE049F5DC23C8FECAAA43E48537996284A026DDF2B13CA7F1F8D2AE5BE3B3EEADB4B7F535FE9B9D5E0600E4E32EFEF6602A97B9CFDFA406XAT6M" TargetMode="External"/><Relationship Id="rId1569" Type="http://schemas.openxmlformats.org/officeDocument/2006/relationships/image" Target="media/image297.wmf"/><Relationship Id="rId701" Type="http://schemas.openxmlformats.org/officeDocument/2006/relationships/hyperlink" Target="consultantplus://offline/ref=6CE049F5DC23C8FECAAA43E48537996286A628DDF6B33CA7F1F8D2AE5BE3B3EEADB4B7F535FE9B9A5A0600E4E32EFEF6602A97B9CFDFA406XAT6M" TargetMode="External"/><Relationship Id="rId939" Type="http://schemas.openxmlformats.org/officeDocument/2006/relationships/hyperlink" Target="consultantplus://offline/ref=6CE049F5DC23C8FECAAA43E48537996286A02BD0F4BD3CA7F1F8D2AE5BE3B3EEADB4B7F535FE9998580600E4E32EFEF6602A97B9CFDFA406XAT6M" TargetMode="External"/><Relationship Id="rId1124" Type="http://schemas.openxmlformats.org/officeDocument/2006/relationships/hyperlink" Target="consultantplus://offline/ref=6CE049F5DC23C8FECAAA43E48537996287A328DCF4B03CA7F1F8D2AE5BE3B3EEADB4B7F535FE9A9A580600E4E32EFEF6602A97B9CFDFA406XAT6M" TargetMode="External"/><Relationship Id="rId1331" Type="http://schemas.openxmlformats.org/officeDocument/2006/relationships/hyperlink" Target="consultantplus://offline/ref=6CE049F5DC23C8FECAAA43E48537996284A02AD8F1B03CA7F1F8D2AE5BE3B3EEADB4B7F535FE9F905F0600E4E32EFEF6602A97B9CFDFA406XAT6M" TargetMode="External"/><Relationship Id="rId1776" Type="http://schemas.openxmlformats.org/officeDocument/2006/relationships/image" Target="media/image474.wmf"/><Relationship Id="rId68" Type="http://schemas.openxmlformats.org/officeDocument/2006/relationships/hyperlink" Target="consultantplus://offline/ref=6CE049F5DC23C8FECAAA43E48537996284A42BD8FDB73CA7F1F8D2AE5BE3B3EEADB4B7F535FE9B99530600E4E32EFEF6602A97B9CFDFA406XAT6M" TargetMode="External"/><Relationship Id="rId1429" Type="http://schemas.openxmlformats.org/officeDocument/2006/relationships/hyperlink" Target="consultantplus://offline/ref=6CE049F5DC23C8FECAAA43E48537996284A02AD8F1B03CA7F1F8D2AE5BE3B3EEADB4B7F631FC90CD0B4901B8A57DEDF46E2A95B1D3XDTDM" TargetMode="External"/><Relationship Id="rId1636" Type="http://schemas.openxmlformats.org/officeDocument/2006/relationships/image" Target="media/image354.wmf"/><Relationship Id="rId1843" Type="http://schemas.openxmlformats.org/officeDocument/2006/relationships/hyperlink" Target="consultantplus://offline/ref=6CE049F5DC23C8FECAAA43E48537996286A729DAFCB03CA7F1F8D2AE5BE3B3EEADB4B7F535FE9B9B5D0600E4E32EFEF6602A97B9CFDFA406XAT6M" TargetMode="External"/><Relationship Id="rId1703" Type="http://schemas.openxmlformats.org/officeDocument/2006/relationships/hyperlink" Target="consultantplus://offline/ref=6CE049F5DC23C8FECAAA43E48537996284A028D0F6B43CA7F1F8D2AE5BE3B3EEADB4B7F535FE9B98580600E4E32EFEF6602A97B9CFDFA406XAT6M" TargetMode="External"/><Relationship Id="rId284" Type="http://schemas.openxmlformats.org/officeDocument/2006/relationships/hyperlink" Target="consultantplus://offline/ref=6CE049F5DC23C8FECAAA43E48537996286A229D0F3B43CA7F1F8D2AE5BE3B3EEADB4B7F535FE9B9F520600E4E32EFEF6602A97B9CFDFA406XAT6M" TargetMode="External"/><Relationship Id="rId491" Type="http://schemas.openxmlformats.org/officeDocument/2006/relationships/hyperlink" Target="consultantplus://offline/ref=6CE049F5DC23C8FECAAA43E48537996286A32CDBF7BD3CA7F1F8D2AE5BE3B3EEADB4B7F535FE9A985B0600E4E32EFEF6602A97B9CFDFA406XAT6M" TargetMode="External"/><Relationship Id="rId144" Type="http://schemas.openxmlformats.org/officeDocument/2006/relationships/hyperlink" Target="consultantplus://offline/ref=6CE049F5DC23C8FECAAA43E48537996284A52BDCFDB13CA7F1F8D2AE5BE3B3EEADB4B7F535FE9A985C0600E4E32EFEF6602A97B9CFDFA406XAT6M" TargetMode="External"/><Relationship Id="rId589" Type="http://schemas.openxmlformats.org/officeDocument/2006/relationships/hyperlink" Target="consultantplus://offline/ref=6CE049F5DC23C8FECAAA43E48537996287A226DDF5B13CA7F1F8D2AE5BE3B3EEADB4B7F535FE9A9C5A0600E4E32EFEF6602A97B9CFDFA406XAT6M" TargetMode="External"/><Relationship Id="rId796" Type="http://schemas.openxmlformats.org/officeDocument/2006/relationships/image" Target="media/image48.wmf"/><Relationship Id="rId351" Type="http://schemas.openxmlformats.org/officeDocument/2006/relationships/hyperlink" Target="consultantplus://offline/ref=6CE049F5DC23C8FECAAA43E48537996286A626DBFDB03CA7F1F8D2AE5BE3B3EEADB4B7F535FE9B905F0600E4E32EFEF6602A97B9CFDFA406XAT6M" TargetMode="External"/><Relationship Id="rId449" Type="http://schemas.openxmlformats.org/officeDocument/2006/relationships/image" Target="media/image3.wmf"/><Relationship Id="rId656" Type="http://schemas.openxmlformats.org/officeDocument/2006/relationships/hyperlink" Target="consultantplus://offline/ref=6CE049F5DC23C8FECAAA43E48537996284A62FDDF4B43CA7F1F8D2AE5BE3B3EEADB4B7F535FE9A9F5A0600E4E32EFEF6602A97B9CFDFA406XAT6M" TargetMode="External"/><Relationship Id="rId863" Type="http://schemas.openxmlformats.org/officeDocument/2006/relationships/image" Target="media/image104.wmf"/><Relationship Id="rId1079" Type="http://schemas.openxmlformats.org/officeDocument/2006/relationships/image" Target="media/image226.wmf"/><Relationship Id="rId1286" Type="http://schemas.openxmlformats.org/officeDocument/2006/relationships/hyperlink" Target="consultantplus://offline/ref=6CE049F5DC23C8FECAAA43E48537996284A02AD8F1B03CA7F1F8D2AE5BE3B3EEADB4B7F535FE9891520600E4E32EFEF6602A97B9CFDFA406XAT6M" TargetMode="External"/><Relationship Id="rId1493" Type="http://schemas.openxmlformats.org/officeDocument/2006/relationships/hyperlink" Target="consultantplus://offline/ref=6CE049F5DC23C8FECAAA43E48537996284A026DDF2B13CA7F1F8D2AE5BE3B3EEADB4B7F535FE9E91530600E4E32EFEF6602A97B9CFDFA406XAT6M" TargetMode="External"/><Relationship Id="rId211" Type="http://schemas.openxmlformats.org/officeDocument/2006/relationships/hyperlink" Target="consultantplus://offline/ref=6CE049F5DC23C8FECAAA43E48537996286A628DCF2B63CA7F1F8D2AE5BE3B3EEADB4B7F535FE9C9E5C0600E4E32EFEF6602A97B9CFDFA406XAT6M" TargetMode="External"/><Relationship Id="rId309" Type="http://schemas.openxmlformats.org/officeDocument/2006/relationships/hyperlink" Target="consultantplus://offline/ref=6CE049F5DC23C8FECAAA43E48537996284A52BDCFDB13CA7F1F8D2AE5BE3B3EEADB4B7F535FE9A9A530600E4E32EFEF6602A97B9CFDFA406XAT6M" TargetMode="External"/><Relationship Id="rId516" Type="http://schemas.openxmlformats.org/officeDocument/2006/relationships/hyperlink" Target="consultantplus://offline/ref=6CE049F5DC23C8FECAAA43E48537996284A52BDCFDB13CA7F1F8D2AE5BE3B3EEADB4B7F535FE99985D0600E4E32EFEF6602A97B9CFDFA406XAT6M" TargetMode="External"/><Relationship Id="rId1146" Type="http://schemas.openxmlformats.org/officeDocument/2006/relationships/image" Target="media/image254.wmf"/><Relationship Id="rId1798" Type="http://schemas.openxmlformats.org/officeDocument/2006/relationships/image" Target="media/image494.wmf"/><Relationship Id="rId723" Type="http://schemas.openxmlformats.org/officeDocument/2006/relationships/hyperlink" Target="consultantplus://offline/ref=6CE049F5DC23C8FECAAA43E48537996286A628DDF6B33CA7F1F8D2AE5BE3B3EEADB4B7F535FE9B9D590600E4E32EFEF6602A97B9CFDFA406XAT6M" TargetMode="External"/><Relationship Id="rId930" Type="http://schemas.openxmlformats.org/officeDocument/2006/relationships/hyperlink" Target="consultantplus://offline/ref=6CE049F5DC23C8FECAAA43E48537996287A02FDEF5B13CA7F1F8D2AE5BE3B3EEADB4B7F535FE9A9C5B0600E4E32EFEF6602A97B9CFDFA406XAT6M" TargetMode="External"/><Relationship Id="rId1006" Type="http://schemas.openxmlformats.org/officeDocument/2006/relationships/hyperlink" Target="consultantplus://offline/ref=6CE049F5DC23C8FECAAA43E48537996286A02BD0F4BD3CA7F1F8D2AE5BE3B3EEADB4B7F535FE999B590600E4E32EFEF6602A97B9CFDFA406XAT6M" TargetMode="External"/><Relationship Id="rId1353" Type="http://schemas.openxmlformats.org/officeDocument/2006/relationships/hyperlink" Target="consultantplus://offline/ref=6CE049F5DC23C8FECAAA43E48537996284A02AD8F1B03CA7F1F8D2AE5BE3B3EEADB4B7F535FE9D91530600E4E32EFEF6602A97B9CFDFA406XAT6M" TargetMode="External"/><Relationship Id="rId1560" Type="http://schemas.openxmlformats.org/officeDocument/2006/relationships/image" Target="media/image288.wmf"/><Relationship Id="rId1658" Type="http://schemas.openxmlformats.org/officeDocument/2006/relationships/image" Target="media/image374.wmf"/><Relationship Id="rId1865" Type="http://schemas.openxmlformats.org/officeDocument/2006/relationships/hyperlink" Target="consultantplus://offline/ref=6CE049F5DC23C8FECAAA43E4853799628CA02CDAFCBE61ADF9A1DEAC5CECECF9AAFDBBF435FE999E515905F1F276F1F278349FAFD3DDA6X0T4M" TargetMode="External"/><Relationship Id="rId1213" Type="http://schemas.openxmlformats.org/officeDocument/2006/relationships/hyperlink" Target="consultantplus://offline/ref=6CE049F5DC23C8FECAAA43E48537996287A328DCF4B03CA7F1F8D2AE5BE3B3EEADB4B7F535FE9F985E0600E4E32EFEF6602A97B9CFDFA406XAT6M" TargetMode="External"/><Relationship Id="rId1420" Type="http://schemas.openxmlformats.org/officeDocument/2006/relationships/hyperlink" Target="consultantplus://offline/ref=6CE049F5DC23C8FECAAA43E48537996284A02AD8F1B03CA7F1F8D2AE5BE3B3EEADB4B7F530FE90CD0B4901B8A57DEDF46E2A95B1D3XDTDM" TargetMode="External"/><Relationship Id="rId1518" Type="http://schemas.openxmlformats.org/officeDocument/2006/relationships/hyperlink" Target="consultantplus://offline/ref=6CE049F5DC23C8FECAAA43E48537996284A028D0F6B43CA7F1F8D2AE5BE3B3EEADB4B7F535FE9B9B530600E4E32EFEF6602A97B9CFDFA406XAT6M" TargetMode="External"/><Relationship Id="rId1725" Type="http://schemas.openxmlformats.org/officeDocument/2006/relationships/hyperlink" Target="consultantplus://offline/ref=6CE049F5DC23C8FECAAA43E48537996286A729DAFCB03CA7F1F8D2AE5BE3B3EEADB4B7F535FE9B9B5D0600E4E32EFEF6602A97B9CFDFA406XAT6M" TargetMode="External"/><Relationship Id="rId17" Type="http://schemas.openxmlformats.org/officeDocument/2006/relationships/hyperlink" Target="consultantplus://offline/ref=6CE049F5DC23C8FECAAA43E48537996287A229D9FDB23CA7F1F8D2AE5BE3B3EEADB4B7F535FE9B9D5F0600E4E32EFEF6602A97B9CFDFA406XAT6M" TargetMode="External"/><Relationship Id="rId166" Type="http://schemas.openxmlformats.org/officeDocument/2006/relationships/hyperlink" Target="consultantplus://offline/ref=6CE049F5DC23C8FECAAA43E48537996287A328DCF4B03CA7F1F8D2AE5BE3B3EEADB4B7F535FE9B9C520600E4E32EFEF6602A97B9CFDFA406XAT6M" TargetMode="External"/><Relationship Id="rId373" Type="http://schemas.openxmlformats.org/officeDocument/2006/relationships/hyperlink" Target="consultantplus://offline/ref=6CE049F5DC23C8FECAAA43E48537996286A729DAFCB03CA7F1F8D2AE5BE3B3EEADB4B7F731F5CFC81E5859B7A165F3FC783697B3XDT1M" TargetMode="External"/><Relationship Id="rId580" Type="http://schemas.openxmlformats.org/officeDocument/2006/relationships/hyperlink" Target="consultantplus://offline/ref=6CE049F5DC23C8FECAAA43E48537996284A62FDDF4B43CA7F1F8D2AE5BE3B3EEADB4B7F535FE9B905F0600E4E32EFEF6602A97B9CFDFA406XAT6M" TargetMode="External"/><Relationship Id="rId1" Type="http://schemas.openxmlformats.org/officeDocument/2006/relationships/styles" Target="styles.xml"/><Relationship Id="rId233" Type="http://schemas.openxmlformats.org/officeDocument/2006/relationships/hyperlink" Target="consultantplus://offline/ref=6CE049F5DC23C8FECAAA43E48537996286A626DBFDB03CA7F1F8D2AE5BE3B3EEADB4B7F535FE9B9E520600E4E32EFEF6602A97B9CFDFA406XAT6M" TargetMode="External"/><Relationship Id="rId440" Type="http://schemas.openxmlformats.org/officeDocument/2006/relationships/hyperlink" Target="consultantplus://offline/ref=6CE049F5DC23C8FECAAA43E48537996286A729DAFCB03CA7F1F8D2AE5BE3B3EEADB4B7F535FE9B9B5D0600E4E32EFEF6602A97B9CFDFA406XAT6M" TargetMode="External"/><Relationship Id="rId678" Type="http://schemas.openxmlformats.org/officeDocument/2006/relationships/hyperlink" Target="consultantplus://offline/ref=6CE049F5DC23C8FECAAA43E48537996284A62FDDF4B43CA7F1F8D2AE5BE3B3EEADB4B7F535FE9A915A0600E4E32EFEF6602A97B9CFDFA406XAT6M" TargetMode="External"/><Relationship Id="rId885" Type="http://schemas.openxmlformats.org/officeDocument/2006/relationships/image" Target="media/image117.wmf"/><Relationship Id="rId1070" Type="http://schemas.openxmlformats.org/officeDocument/2006/relationships/hyperlink" Target="consultantplus://offline/ref=6CE049F5DC23C8FECAAA43E48537996287A02FDDF4B63CA7F1F8D2AE5BE3B3EEBFB4EFF937F88599521356B5A5X7TBM" TargetMode="External"/><Relationship Id="rId300" Type="http://schemas.openxmlformats.org/officeDocument/2006/relationships/hyperlink" Target="consultantplus://offline/ref=6CE049F5DC23C8FECAAA43E48537996287A326D1F7B73CA7F1F8D2AE5BE3B3EEADB4B7F535FE9A9A5F0600E4E32EFEF6602A97B9CFDFA406XAT6M" TargetMode="External"/><Relationship Id="rId538" Type="http://schemas.openxmlformats.org/officeDocument/2006/relationships/hyperlink" Target="consultantplus://offline/ref=6CE049F5DC23C8FECAAA43E48537996286A72ADFF7B33CA7F1F8D2AE5BE3B3EEADB4B7F535FE9B98590600E4E32EFEF6602A97B9CFDFA406XAT6M" TargetMode="External"/><Relationship Id="rId745" Type="http://schemas.openxmlformats.org/officeDocument/2006/relationships/hyperlink" Target="consultantplus://offline/ref=6CE049F5DC23C8FECAAA43E48537996284A62FDDF4B43CA7F1F8D2AE5BE3B3EEADB4B7F535FE999A580600E4E32EFEF6602A97B9CFDFA406XAT6M" TargetMode="External"/><Relationship Id="rId952" Type="http://schemas.openxmlformats.org/officeDocument/2006/relationships/image" Target="media/image153.wmf"/><Relationship Id="rId1168" Type="http://schemas.openxmlformats.org/officeDocument/2006/relationships/hyperlink" Target="consultantplus://offline/ref=6CE049F5DC23C8FECAAA43E48537996287A328DCF4B03CA7F1F8D2AE5BE3B3EEADB4B7F535FE9A9D530600E4E32EFEF6602A97B9CFDFA406XAT6M" TargetMode="External"/><Relationship Id="rId1375" Type="http://schemas.openxmlformats.org/officeDocument/2006/relationships/hyperlink" Target="consultantplus://offline/ref=6CE049F5DC23C8FECAAA43E48537996284A02AD8F1B03CA7F1F8D2AE5BE3B3EEADB4B7F630F5CFC81E5859B7A165F3FC783697B3XDT1M" TargetMode="External"/><Relationship Id="rId1582" Type="http://schemas.openxmlformats.org/officeDocument/2006/relationships/image" Target="media/image308.wmf"/><Relationship Id="rId81" Type="http://schemas.openxmlformats.org/officeDocument/2006/relationships/hyperlink" Target="consultantplus://offline/ref=6CE049F5DC23C8FECAAA43E48537996284A52BDCFDB13CA7F1F8D2AE5BE3B3EEADB4B7F535FE9A995C0600E4E32EFEF6602A97B9CFDFA406XAT6M" TargetMode="External"/><Relationship Id="rId605" Type="http://schemas.openxmlformats.org/officeDocument/2006/relationships/hyperlink" Target="consultantplus://offline/ref=6CE049F5DC23C8FECAAA43E48537996286A028DCFCB13CA7F1F8D2AE5BE3B3EEADB4B7F535FE9B9A590600E4E32EFEF6602A97B9CFDFA406XAT6M" TargetMode="External"/><Relationship Id="rId812" Type="http://schemas.openxmlformats.org/officeDocument/2006/relationships/image" Target="media/image64.wmf"/><Relationship Id="rId1028" Type="http://schemas.openxmlformats.org/officeDocument/2006/relationships/image" Target="media/image197.wmf"/><Relationship Id="rId1235" Type="http://schemas.openxmlformats.org/officeDocument/2006/relationships/hyperlink" Target="consultantplus://offline/ref=6CE049F5DC23C8FECAAA43E48537996286A32CD8F6B23CA7F1F8D2AE5BE3B3EEADB4B7F535FF999B5F0600E4E32EFEF6602A97B9CFDFA406XAT6M" TargetMode="External"/><Relationship Id="rId1442" Type="http://schemas.openxmlformats.org/officeDocument/2006/relationships/hyperlink" Target="consultantplus://offline/ref=6CE049F5DC23C8FECAAA43E48537996284A026DDF2B63CA7F1F8D2AE5BE3B3EEADB4B7F535FE9B9B5D0600E4E32EFEF6602A97B9CFDFA406XAT6M" TargetMode="External"/><Relationship Id="rId1302" Type="http://schemas.openxmlformats.org/officeDocument/2006/relationships/hyperlink" Target="consultantplus://offline/ref=6CE049F5DC23C8FECAAA43E48537996284A02AD8F1B03CA7F1F8D2AE5BE3B3EEADB4B7F535FE9F98520600E4E32EFEF6602A97B9CFDFA406XAT6M" TargetMode="External"/><Relationship Id="rId1747" Type="http://schemas.openxmlformats.org/officeDocument/2006/relationships/hyperlink" Target="consultantplus://offline/ref=6CE049F5DC23C8FECAAA43E48537996286A729DAFCB03CA7F1F8D2AE5BE3B3EEADB4B7F535FE9B9B5D0600E4E32EFEF6602A97B9CFDFA406XAT6M" TargetMode="External"/><Relationship Id="rId39" Type="http://schemas.openxmlformats.org/officeDocument/2006/relationships/hyperlink" Target="consultantplus://offline/ref=6CE049F5DC23C8FECAAA43E48537996287AA2DDEF7B23CA7F1F8D2AE5BE3B3EEADB4B7F535FE9B985E0600E4E32EFEF6602A97B9CFDFA406XAT6M" TargetMode="External"/><Relationship Id="rId1607" Type="http://schemas.openxmlformats.org/officeDocument/2006/relationships/image" Target="media/image329.wmf"/><Relationship Id="rId1814" Type="http://schemas.openxmlformats.org/officeDocument/2006/relationships/image" Target="media/image508.wmf"/><Relationship Id="rId188" Type="http://schemas.openxmlformats.org/officeDocument/2006/relationships/hyperlink" Target="consultantplus://offline/ref=6CE049F5DC23C8FECAAA43E48537996286A626DBFDB03CA7F1F8D2AE5BE3B3EEADB4B7F535FE9B9F530600E4E32EFEF6602A97B9CFDFA406XAT6M" TargetMode="External"/><Relationship Id="rId395" Type="http://schemas.openxmlformats.org/officeDocument/2006/relationships/hyperlink" Target="consultantplus://offline/ref=6CE049F5DC23C8FECAAA43E48537996286A72ED1F4B63CA7F1F8D2AE5BE3B3EEADB4B7F535FE9B9B530600E4E32EFEF6602A97B9CFDFA406XAT6M" TargetMode="External"/><Relationship Id="rId255" Type="http://schemas.openxmlformats.org/officeDocument/2006/relationships/hyperlink" Target="consultantplus://offline/ref=6CE049F5DC23C8FECAAA43E48537996287A328DCF4B03CA7F1F8D2AE5BE3B3EEADB4B7F535FE9B9F5F0600E4E32EFEF6602A97B9CFDFA406XAT6M" TargetMode="External"/><Relationship Id="rId462" Type="http://schemas.openxmlformats.org/officeDocument/2006/relationships/hyperlink" Target="consultantplus://offline/ref=6CE049F5DC23C8FECAAA43E48537996284A52BDCFDB13CA7F1F8D2AE5BE3B3EEADB4B7F535FE9A905F0600E4E32EFEF6602A97B9CFDFA406XAT6M" TargetMode="External"/><Relationship Id="rId1092" Type="http://schemas.openxmlformats.org/officeDocument/2006/relationships/image" Target="media/image238.wmf"/><Relationship Id="rId1397" Type="http://schemas.openxmlformats.org/officeDocument/2006/relationships/hyperlink" Target="consultantplus://offline/ref=6CE049F5DC23C8FECAAA43E48537996284A02AD8F1B03CA7F1F8D2AE5BE3B3EEADB4B7F535FE939F530600E4E32EFEF6602A97B9CFDFA406XAT6M" TargetMode="External"/><Relationship Id="rId115" Type="http://schemas.openxmlformats.org/officeDocument/2006/relationships/hyperlink" Target="consultantplus://offline/ref=6CE049F5DC23C8FECAAA43E48537996286A628DDF2B73CA7F1F8D2AE5BE3B3EEADB4B7F535FE9B9F5C0600E4E32EFEF6602A97B9CFDFA406XAT6M" TargetMode="External"/><Relationship Id="rId322" Type="http://schemas.openxmlformats.org/officeDocument/2006/relationships/hyperlink" Target="consultantplus://offline/ref=6CE049F5DC23C8FECAAA43E48537996284A52BDCFDB13CA7F1F8D2AE5BE3B3EEADB4B7F535FE9A9C520600E4E32EFEF6602A97B9CFDFA406XAT6M" TargetMode="External"/><Relationship Id="rId767" Type="http://schemas.openxmlformats.org/officeDocument/2006/relationships/hyperlink" Target="consultantplus://offline/ref=6CE049F5DC23C8FECAAA43E48537996286A22EDDF5B33CA7F1F8D2AE5BE3B3EEADB4B7F535FE9B915B0600E4E32EFEF6602A97B9CFDFA406XAT6M" TargetMode="External"/><Relationship Id="rId974" Type="http://schemas.openxmlformats.org/officeDocument/2006/relationships/hyperlink" Target="consultantplus://offline/ref=6CE049F5DC23C8FECAAA43E48537996286A22EDDF5B33CA7F1F8D2AE5BE3B3EEADB4B7F535FE9A9A580600E4E32EFEF6602A97B9CFDFA406XAT6M" TargetMode="External"/><Relationship Id="rId627" Type="http://schemas.openxmlformats.org/officeDocument/2006/relationships/hyperlink" Target="consultantplus://offline/ref=6CE049F5DC23C8FECAAA43E48537996286A028DCFCB13CA7F1F8D2AE5BE3B3EEADB4B7F535FE9B9A520600E4E32EFEF6602A97B9CFDFA406XAT6M" TargetMode="External"/><Relationship Id="rId834" Type="http://schemas.openxmlformats.org/officeDocument/2006/relationships/image" Target="media/image84.wmf"/><Relationship Id="rId1257" Type="http://schemas.openxmlformats.org/officeDocument/2006/relationships/hyperlink" Target="consultantplus://offline/ref=6CE049F5DC23C8FECAAA43E48537996286A328DFFCB03CA7F1F8D2AE5BE3B3EEADB4B7F535FF9B9E5E0600E4E32EFEF6602A97B9CFDFA406XAT6M" TargetMode="External"/><Relationship Id="rId1464" Type="http://schemas.openxmlformats.org/officeDocument/2006/relationships/hyperlink" Target="consultantplus://offline/ref=6CE049F5DC23C8FECAAA43E48537996284A026DDF2B63CA7F1F8D2AE5BE3B3EEADB4B7F037F5CFC81E5859B7A165F3FC783697B3XDT1M" TargetMode="External"/><Relationship Id="rId1671" Type="http://schemas.openxmlformats.org/officeDocument/2006/relationships/image" Target="media/image384.wmf"/><Relationship Id="rId901" Type="http://schemas.openxmlformats.org/officeDocument/2006/relationships/hyperlink" Target="consultantplus://offline/ref=6CE049F5DC23C8FECAAA43E48537996286A02BD0F4BD3CA7F1F8D2AE5BE3B3EEADB4B7F535FE99995A0600E4E32EFEF6602A97B9CFDFA406XAT6M" TargetMode="External"/><Relationship Id="rId1117" Type="http://schemas.openxmlformats.org/officeDocument/2006/relationships/hyperlink" Target="consultantplus://offline/ref=6CE049F5DC23C8FECAAA43E48537996284A62FDDF4B43CA7F1F8D2AE5BE3B3EEADB4B7F535FE999C580600E4E32EFEF6602A97B9CFDFA406XAT6M" TargetMode="External"/><Relationship Id="rId1324" Type="http://schemas.openxmlformats.org/officeDocument/2006/relationships/hyperlink" Target="consultantplus://offline/ref=6CE049F5DC23C8FECAAA43E48537996284A02AD8F1B03CA7F1F8D2AE5BE3B3EEADB4B7F535FE929C5D0600E4E32EFEF6602A97B9CFDFA406XAT6M" TargetMode="External"/><Relationship Id="rId1531" Type="http://schemas.openxmlformats.org/officeDocument/2006/relationships/image" Target="media/image260.wmf"/><Relationship Id="rId1769" Type="http://schemas.openxmlformats.org/officeDocument/2006/relationships/image" Target="media/image467.wmf"/><Relationship Id="rId30" Type="http://schemas.openxmlformats.org/officeDocument/2006/relationships/hyperlink" Target="consultantplus://offline/ref=6CE049F5DC23C8FECAAA43E48537996287A02EDFF2B63CA7F1F8D2AE5BE3B3EEADB4B7F535FE999B590600E4E32EFEF6602A97B9CFDFA406XAT6M" TargetMode="External"/><Relationship Id="rId1629" Type="http://schemas.openxmlformats.org/officeDocument/2006/relationships/image" Target="media/image348.wmf"/><Relationship Id="rId1836" Type="http://schemas.openxmlformats.org/officeDocument/2006/relationships/hyperlink" Target="consultantplus://offline/ref=6CE049F5DC23C8FECAAA43E48537996286A729DAFCB03CA7F1F8D2AE5BE3B3EEADB4B7F535FE9B9B5D0600E4E32EFEF6602A97B9CFDFA406XAT6M" TargetMode="External"/><Relationship Id="rId277" Type="http://schemas.openxmlformats.org/officeDocument/2006/relationships/hyperlink" Target="consultantplus://offline/ref=6CE049F5DC23C8FECAAA43E48537996286A229D0F3B43CA7F1F8D2AE5BE3B3EEADB4B7F535FE9B9F5C0600E4E32EFEF6602A97B9CFDFA406XAT6M" TargetMode="External"/><Relationship Id="rId484" Type="http://schemas.openxmlformats.org/officeDocument/2006/relationships/image" Target="media/image20.wmf"/><Relationship Id="rId137" Type="http://schemas.openxmlformats.org/officeDocument/2006/relationships/hyperlink" Target="consultantplus://offline/ref=6CE049F5DC23C8FECAAA43E48537996287A226DDF5B13CA7F1F8D2AE5BE3B3EEADB4B7F535FE9A9B5D0600E4E32EFEF6602A97B9CFDFA406XAT6M" TargetMode="External"/><Relationship Id="rId344" Type="http://schemas.openxmlformats.org/officeDocument/2006/relationships/hyperlink" Target="consultantplus://offline/ref=6CE049F5DC23C8FECAAA43E48537996286A328DEF7BD3CA7F1F8D2AE5BE3B3EEADB4B7F535FE9B9E580600E4E32EFEF6602A97B9CFDFA406XAT6M" TargetMode="External"/><Relationship Id="rId691" Type="http://schemas.openxmlformats.org/officeDocument/2006/relationships/hyperlink" Target="consultantplus://offline/ref=6CE049F5DC23C8FECAAA43E48537996284A62FDDF4B43CA7F1F8D2AE5BE3B3EEADB4B7F535FE9999590600E4E32EFEF6602A97B9CFDFA406XAT6M" TargetMode="External"/><Relationship Id="rId789" Type="http://schemas.openxmlformats.org/officeDocument/2006/relationships/image" Target="media/image42.wmf"/><Relationship Id="rId996" Type="http://schemas.openxmlformats.org/officeDocument/2006/relationships/image" Target="media/image179.wmf"/><Relationship Id="rId551" Type="http://schemas.openxmlformats.org/officeDocument/2006/relationships/hyperlink" Target="consultantplus://offline/ref=6CE049F5DC23C8FECAAA43E48537996286A028DCFCB13CA7F1F8D2AE5BE3B3EEADB4B7F535FE9B98530600E4E32EFEF6602A97B9CFDFA406XAT6M" TargetMode="External"/><Relationship Id="rId649" Type="http://schemas.openxmlformats.org/officeDocument/2006/relationships/hyperlink" Target="consultantplus://offline/ref=6CE049F5DC23C8FECAAA43E48537996286A028D8F3B73CA7F1F8D2AE5BE3B3EEADB4B7F535FE99915C0600E4E32EFEF6602A97B9CFDFA406XAT6M" TargetMode="External"/><Relationship Id="rId856" Type="http://schemas.openxmlformats.org/officeDocument/2006/relationships/image" Target="media/image99.wmf"/><Relationship Id="rId1181" Type="http://schemas.openxmlformats.org/officeDocument/2006/relationships/hyperlink" Target="consultantplus://offline/ref=6CE049F5DC23C8FECAAA43E48537996287A328DCF4B03CA7F1F8D2AE5BE3B3EEADB4B7F535FE9999530600E4E32EFEF6602A97B9CFDFA406XAT6M" TargetMode="External"/><Relationship Id="rId1279" Type="http://schemas.openxmlformats.org/officeDocument/2006/relationships/hyperlink" Target="consultantplus://offline/ref=6CE049F5DC23C8FECAAA43E48537996284A02ADBF0B53CA7F1F8D2AE5BE3B3EEADB4B7F53DFC90CD0B4901B8A57DEDF46E2A95B1D3XDTDM" TargetMode="External"/><Relationship Id="rId1486" Type="http://schemas.openxmlformats.org/officeDocument/2006/relationships/hyperlink" Target="consultantplus://offline/ref=6CE049F5DC23C8FECAAA43E48537996286A628DCF2B63CA7F1F8D2AE5BE3B3EEADB4B7F535FE989E530600E4E32EFEF6602A97B9CFDFA406XAT6M" TargetMode="External"/><Relationship Id="rId204" Type="http://schemas.openxmlformats.org/officeDocument/2006/relationships/hyperlink" Target="consultantplus://offline/ref=6CE049F5DC23C8FECAAA43E48537996284A727D0F4B33CA7F1F8D2AE5BE3B3EEADB4B7F535FE9B9F5A0600E4E32EFEF6602A97B9CFDFA406XAT6M" TargetMode="External"/><Relationship Id="rId411" Type="http://schemas.openxmlformats.org/officeDocument/2006/relationships/hyperlink" Target="consultantplus://offline/ref=6CE049F5DC23C8FECAAA43E48537996286A328DEF7BD3CA7F1F8D2AE5BE3B3EEADB4B7F535FE9B905B0600E4E32EFEF6602A97B9CFDFA406XAT6M" TargetMode="External"/><Relationship Id="rId509" Type="http://schemas.openxmlformats.org/officeDocument/2006/relationships/hyperlink" Target="consultantplus://offline/ref=6CE049F5DC23C8FECAAA43E48537996286A32CD8F4BD3CA7F1F8D2AE5BE3B3EEADB4B7F535FE9B985F0600E4E32EFEF6602A97B9CFDFA406XAT6M" TargetMode="External"/><Relationship Id="rId1041" Type="http://schemas.openxmlformats.org/officeDocument/2006/relationships/image" Target="media/image205.wmf"/><Relationship Id="rId1139" Type="http://schemas.openxmlformats.org/officeDocument/2006/relationships/image" Target="media/image252.wmf"/><Relationship Id="rId1346" Type="http://schemas.openxmlformats.org/officeDocument/2006/relationships/hyperlink" Target="consultantplus://offline/ref=6CE049F5DC23C8FECAAA43E48537996284A02AD8F1B03CA7F1F8D2AE5BE3B3EEADB4B7F535FE9D9F520600E4E32EFEF6602A97B9CFDFA406XAT6M" TargetMode="External"/><Relationship Id="rId1693" Type="http://schemas.openxmlformats.org/officeDocument/2006/relationships/image" Target="media/image402.wmf"/><Relationship Id="rId716" Type="http://schemas.openxmlformats.org/officeDocument/2006/relationships/hyperlink" Target="consultantplus://offline/ref=6CE049F5DC23C8FECAAA43E48537996284A62FDDF5B53CA7F1F8D2AE5BE3B3EEADB4B7F535FE9B985B0600E4E32EFEF6602A97B9CFDFA406XAT6M" TargetMode="External"/><Relationship Id="rId923" Type="http://schemas.openxmlformats.org/officeDocument/2006/relationships/hyperlink" Target="consultantplus://offline/ref=6CE049F5DC23C8FECAAA43E48537996286A02BD0F4BD3CA7F1F8D2AE5BE3B3EEADB4B7F535FE99995C0600E4E32EFEF6602A97B9CFDFA406XAT6M" TargetMode="External"/><Relationship Id="rId1553" Type="http://schemas.openxmlformats.org/officeDocument/2006/relationships/image" Target="media/image281.wmf"/><Relationship Id="rId1760" Type="http://schemas.openxmlformats.org/officeDocument/2006/relationships/image" Target="media/image460.wmf"/><Relationship Id="rId1858" Type="http://schemas.openxmlformats.org/officeDocument/2006/relationships/hyperlink" Target="consultantplus://offline/ref=6CE049F5DC23C8FECAAA43E48537996284A32DDCF1BC3CA7F1F8D2AE5BE3B3EEADB4B7F535FE9A98520600E4E32EFEF6602A97B9CFDFA406XAT6M" TargetMode="External"/><Relationship Id="rId52" Type="http://schemas.openxmlformats.org/officeDocument/2006/relationships/hyperlink" Target="consultantplus://offline/ref=6CE049F5DC23C8FECAAA43E48537996286A62DDCFCB43CA7F1F8D2AE5BE3B3EEADB4B7F535FE9B9A5C0600E4E32EFEF6602A97B9CFDFA406XAT6M" TargetMode="External"/><Relationship Id="rId1206" Type="http://schemas.openxmlformats.org/officeDocument/2006/relationships/hyperlink" Target="consultantplus://offline/ref=6CE049F5DC23C8FECAAA43E48537996287A328DCF4B03CA7F1F8D2AE5BE3B3EEADB4B7F535FE989F5D0600E4E32EFEF6602A97B9CFDFA406XAT6M" TargetMode="External"/><Relationship Id="rId1413" Type="http://schemas.openxmlformats.org/officeDocument/2006/relationships/hyperlink" Target="consultantplus://offline/ref=6CE049F5DC23C8FECAAA43E48537996284A02AD8F1B03CA7F1F8D2AE5BE3B3EEADB4B7F330F5CFC81E5859B7A165F3FC783697B3XDT1M" TargetMode="External"/><Relationship Id="rId1620" Type="http://schemas.openxmlformats.org/officeDocument/2006/relationships/image" Target="media/image341.wmf"/><Relationship Id="rId1718" Type="http://schemas.openxmlformats.org/officeDocument/2006/relationships/image" Target="media/image425.wmf"/><Relationship Id="rId299" Type="http://schemas.openxmlformats.org/officeDocument/2006/relationships/hyperlink" Target="consultantplus://offline/ref=6CE049F5DC23C8FECAAA43E48537996287A326D1F7B73CA7F1F8D2AE5BE3B3EEADB4B7F535FE9A9A580600E4E32EFEF6602A97B9CFDFA406XAT6M" TargetMode="External"/><Relationship Id="rId159" Type="http://schemas.openxmlformats.org/officeDocument/2006/relationships/hyperlink" Target="consultantplus://offline/ref=6CE049F5DC23C8FECAAA43E48537996287A326D1F7B73CA7F1F8D2AE5BE3B3EEADB4B7F535FE9A9B5F0600E4E32EFEF6602A97B9CFDFA406XAT6M" TargetMode="External"/><Relationship Id="rId366" Type="http://schemas.openxmlformats.org/officeDocument/2006/relationships/hyperlink" Target="consultantplus://offline/ref=6CE049F5DC23C8FECAAA43E48537996286A02ADBFDB63CA7F1F8D2AE5BE3B3EEADB4B7F535FE9B98580600E4E32EFEF6602A97B9CFDFA406XAT6M" TargetMode="External"/><Relationship Id="rId573" Type="http://schemas.openxmlformats.org/officeDocument/2006/relationships/hyperlink" Target="consultantplus://offline/ref=6CE049F5DC23C8FECAAA43E48537996287AA2DDEF7B23CA7F1F8D2AE5BE3B3EEADB4B7F535FE9B9B590600E4E32EFEF6602A97B9CFDFA406XAT6M" TargetMode="External"/><Relationship Id="rId780" Type="http://schemas.openxmlformats.org/officeDocument/2006/relationships/hyperlink" Target="consultantplus://offline/ref=6CE049F5DC23C8FECAAA43E48537996286A02BD0F4BD3CA7F1F8D2AE5BE3B3EEADB4B7F535FE9A9E520600E4E32EFEF6602A97B9CFDFA406XAT6M" TargetMode="External"/><Relationship Id="rId226" Type="http://schemas.openxmlformats.org/officeDocument/2006/relationships/hyperlink" Target="consultantplus://offline/ref=6CE049F5DC23C8FECAAA43E48537996286A628DCF2B63CA7F1F8D2AE5BE3B3EEADB4B7F535FF9B915A0600E4E32EFEF6602A97B9CFDFA406XAT6M" TargetMode="External"/><Relationship Id="rId433" Type="http://schemas.openxmlformats.org/officeDocument/2006/relationships/hyperlink" Target="consultantplus://offline/ref=6CE049F5DC23C8FECAAA43E48537996286A729DAFCB03CA7F1F8D2AE5BE3B3EEADB4B7F535FE9B9B5D0600E4E32EFEF6602A97B9CFDFA406XAT6M" TargetMode="External"/><Relationship Id="rId878" Type="http://schemas.openxmlformats.org/officeDocument/2006/relationships/image" Target="media/image112.wmf"/><Relationship Id="rId1063" Type="http://schemas.openxmlformats.org/officeDocument/2006/relationships/hyperlink" Target="consultantplus://offline/ref=6CE049F5DC23C8FECAAA43E48537996286A22EDDF5B33CA7F1F8D2AE5BE3B3EEADB4B7F535FE9A9E5B0600E4E32EFEF6602A97B9CFDFA406XAT6M" TargetMode="External"/><Relationship Id="rId1270" Type="http://schemas.openxmlformats.org/officeDocument/2006/relationships/hyperlink" Target="consultantplus://offline/ref=6CE049F5DC23C8FECAAA43E48537996284A02ADBF0B53CA7F1F8D2AE5BE3B3EEADB4B7F230F5CFC81E5859B7A165F3FC783697B3XDT1M" TargetMode="External"/><Relationship Id="rId640" Type="http://schemas.openxmlformats.org/officeDocument/2006/relationships/hyperlink" Target="consultantplus://offline/ref=6CE049F5DC23C8FECAAA43E48537996287A22AD1F3B13CA7F1F8D2AE5BE3B3EEADB4B7F535FE9B9B590600E4E32EFEF6602A97B9CFDFA406XAT6M" TargetMode="External"/><Relationship Id="rId738" Type="http://schemas.openxmlformats.org/officeDocument/2006/relationships/hyperlink" Target="consultantplus://offline/ref=6CE049F5DC23C8FECAAA43E48537996284A62FDDF5B53CA7F1F8D2AE5BE3B3EEADB4B7F535FE9B9B590600E4E32EFEF6602A97B9CFDFA406XAT6M" TargetMode="External"/><Relationship Id="rId945" Type="http://schemas.openxmlformats.org/officeDocument/2006/relationships/image" Target="media/image147.wmf"/><Relationship Id="rId1368" Type="http://schemas.openxmlformats.org/officeDocument/2006/relationships/hyperlink" Target="consultantplus://offline/ref=6CE049F5DC23C8FECAAA43E48537996284A02AD8F1B03CA7F1F8D2AE5BE3B3EEADB4B7F533F5CFC81E5859B7A165F3FC783697B3XDT1M" TargetMode="External"/><Relationship Id="rId1575" Type="http://schemas.openxmlformats.org/officeDocument/2006/relationships/image" Target="media/image302.wmf"/><Relationship Id="rId1782" Type="http://schemas.openxmlformats.org/officeDocument/2006/relationships/image" Target="media/image479.wmf"/><Relationship Id="rId74" Type="http://schemas.openxmlformats.org/officeDocument/2006/relationships/hyperlink" Target="consultantplus://offline/ref=6CE049F5DC23C8FECAAA43E48537996284A72FD9F6B73CA7F1F8D2AE5BE3B3EEADB4B7F535FE9B9D580600E4E32EFEF6602A97B9CFDFA406XAT6M" TargetMode="External"/><Relationship Id="rId500" Type="http://schemas.openxmlformats.org/officeDocument/2006/relationships/hyperlink" Target="consultantplus://offline/ref=6CE049F5DC23C8FECAAA43E48537996286A628DCF2B63CA7F1F8D2AE5BE3B3EEADB4B7F535FE989E530600E4E32EFEF6602A97B9CFDFA406XAT6M" TargetMode="External"/><Relationship Id="rId805" Type="http://schemas.openxmlformats.org/officeDocument/2006/relationships/image" Target="media/image57.wmf"/><Relationship Id="rId1130" Type="http://schemas.openxmlformats.org/officeDocument/2006/relationships/image" Target="media/image247.wmf"/><Relationship Id="rId1228" Type="http://schemas.openxmlformats.org/officeDocument/2006/relationships/hyperlink" Target="consultantplus://offline/ref=6CE049F5DC23C8FECAAA43E48537996286A32CD8F6B23CA7F1F8D2AE5BE3B3EEADB4B7F535FF99985B0600E4E32EFEF6602A97B9CFDFA406XAT6M" TargetMode="External"/><Relationship Id="rId1435" Type="http://schemas.openxmlformats.org/officeDocument/2006/relationships/hyperlink" Target="consultantplus://offline/ref=6CE049F5DC23C8FECAAA43E48537996284A02AD8F1B03CA7F1F8D2AE5BE3B3EEADB4B7F731F690CD0B4901B8A57DEDF46E2A95B1D3XDTDM" TargetMode="External"/><Relationship Id="rId1642" Type="http://schemas.openxmlformats.org/officeDocument/2006/relationships/image" Target="media/image359.wmf"/><Relationship Id="rId1502" Type="http://schemas.openxmlformats.org/officeDocument/2006/relationships/hyperlink" Target="consultantplus://offline/ref=6CE049F5DC23C8FECAAA43E48537996284A026DDF2B13CA7F1F8D2AE5BE3B3EEADB4B7F535FE9D91590600E4E32EFEF6602A97B9CFDFA406XAT6M" TargetMode="External"/><Relationship Id="rId1807" Type="http://schemas.openxmlformats.org/officeDocument/2006/relationships/hyperlink" Target="consultantplus://offline/ref=6CE049F5DC23C8FECAAA43E48537996286A729DAFCB03CA7F1F8D2AE5BE3B3EEADB4B7F535FE9B9B5D0600E4E32EFEF6602A97B9CFDFA406XAT6M" TargetMode="External"/><Relationship Id="rId290" Type="http://schemas.openxmlformats.org/officeDocument/2006/relationships/hyperlink" Target="consultantplus://offline/ref=6CE049F5DC23C8FECAAA43E48537996287A328DCF4B03CA7F1F8D2AE5BE3B3EEADB4B7F535FE9B9E580600E4E32EFEF6602A97B9CFDFA406XAT6M" TargetMode="External"/><Relationship Id="rId388" Type="http://schemas.openxmlformats.org/officeDocument/2006/relationships/hyperlink" Target="consultantplus://offline/ref=6CE049F5DC23C8FECAAA43E48537996287A02FDEF5B13CA7F1F8D2AE5BE3B3EEADB4B7F535FE9A9A590600E4E32EFEF6602A97B9CFDFA406XAT6M" TargetMode="External"/><Relationship Id="rId150" Type="http://schemas.openxmlformats.org/officeDocument/2006/relationships/hyperlink" Target="consultantplus://offline/ref=6CE049F5DC23C8FECAAA43E48537996287AA29DBF2B53CA7F1F8D2AE5BE3B3EEADB4B7F535FE9B9C580600E4E32EFEF6602A97B9CFDFA406XAT6M" TargetMode="External"/><Relationship Id="rId595" Type="http://schemas.openxmlformats.org/officeDocument/2006/relationships/hyperlink" Target="consultantplus://offline/ref=6CE049F5DC23C8FECAAA43E48537996287AA2DDEF7B23CA7F1F8D2AE5BE3B3EEADB4B7F535FE9B9A5B0600E4E32EFEF6602A97B9CFDFA406XAT6M" TargetMode="External"/><Relationship Id="rId248" Type="http://schemas.openxmlformats.org/officeDocument/2006/relationships/hyperlink" Target="consultantplus://offline/ref=6CE049F5DC23C8FECAAA43E48537996286A628DCF2B63CA7F1F8D2AE5BE3B3EEADB4B7F635FA99920E5C10E0AA79F5EA663C89B3D1DFXAT4M" TargetMode="External"/><Relationship Id="rId455" Type="http://schemas.openxmlformats.org/officeDocument/2006/relationships/image" Target="media/image9.wmf"/><Relationship Id="rId662" Type="http://schemas.openxmlformats.org/officeDocument/2006/relationships/hyperlink" Target="consultantplus://offline/ref=6CE049F5DC23C8FECAAA43E48537996283A326DEF2BE61ADF9A1DEAC5CECECEBAAA5B7F633E09B91440F54B7XAT7M" TargetMode="External"/><Relationship Id="rId1085" Type="http://schemas.openxmlformats.org/officeDocument/2006/relationships/hyperlink" Target="consultantplus://offline/ref=6CE049F5DC23C8FECAAA43E48537996286A628DCF2B63CA7F1F8D2AE5BE3B3EEADB4B7F535FE989E530600E4E32EFEF6602A97B9CFDFA406XAT6M" TargetMode="External"/><Relationship Id="rId1292" Type="http://schemas.openxmlformats.org/officeDocument/2006/relationships/hyperlink" Target="consultantplus://offline/ref=6CE049F5DC23C8FECAAA43E48537996284A02AD8F1B03CA7F1F8D2AE5BE3B3EEADB4B7F535FE9F985B0600E4E32EFEF6602A97B9CFDFA406XAT6M" TargetMode="External"/><Relationship Id="rId108" Type="http://schemas.openxmlformats.org/officeDocument/2006/relationships/hyperlink" Target="consultantplus://offline/ref=6CE049F5DC23C8FECAAA43E48537996286A32CD8F6B23CA7F1F8D2AE5BE3B3EEADB4B7F535FF9999580600E4E32EFEF6602A97B9CFDFA406XAT6M" TargetMode="External"/><Relationship Id="rId315" Type="http://schemas.openxmlformats.org/officeDocument/2006/relationships/hyperlink" Target="consultantplus://offline/ref=6CE049F5DC23C8FECAAA43E48537996286A72ED9F7B63CA7F1F8D2AE5BE3B3EEADB4B7F535FE9B9C5F0600E4E32EFEF6602A97B9CFDFA406XAT6M" TargetMode="External"/><Relationship Id="rId522" Type="http://schemas.openxmlformats.org/officeDocument/2006/relationships/hyperlink" Target="consultantplus://offline/ref=6CE049F5DC23C8FECAAA43E48537996286A72ED9F7B63CA7F1F8D2AE5BE3B3EEADB4B7F535FE9B9F5D0600E4E32EFEF6602A97B9CFDFA406XAT6M" TargetMode="External"/><Relationship Id="rId967" Type="http://schemas.openxmlformats.org/officeDocument/2006/relationships/image" Target="media/image162.wmf"/><Relationship Id="rId1152" Type="http://schemas.openxmlformats.org/officeDocument/2006/relationships/hyperlink" Target="consultantplus://offline/ref=6CE049F5DC23C8FECAAA43E48537996287A02FDEF5B13CA7F1F8D2AE5BE3B3EEADB4B7F535FE9A9F520600E4E32EFEF6602A97B9CFDFA406XAT6M" TargetMode="External"/><Relationship Id="rId1597" Type="http://schemas.openxmlformats.org/officeDocument/2006/relationships/hyperlink" Target="consultantplus://offline/ref=6CE049F5DC23C8FECAAA43E48537996286A628D1FCB73CA7F1F8D2AE5BE3B3EEADB4B7F535FE9B9D5D0600E4E32EFEF6602A97B9CFDFA406XAT6M" TargetMode="External"/><Relationship Id="rId96" Type="http://schemas.openxmlformats.org/officeDocument/2006/relationships/hyperlink" Target="consultantplus://offline/ref=6CE049F5DC23C8FECAAA43E48537996287A329DEF5BD3CA7F1F8D2AE5BE3B3EEADB4B7F535FE9B9A520600E4E32EFEF6602A97B9CFDFA406XAT6M" TargetMode="External"/><Relationship Id="rId827" Type="http://schemas.openxmlformats.org/officeDocument/2006/relationships/image" Target="media/image77.wmf"/><Relationship Id="rId1012" Type="http://schemas.openxmlformats.org/officeDocument/2006/relationships/image" Target="media/image187.wmf"/><Relationship Id="rId1457" Type="http://schemas.openxmlformats.org/officeDocument/2006/relationships/hyperlink" Target="consultantplus://offline/ref=6CE049F5DC23C8FECAAA43E48537996284A026DDF2B63CA7F1F8D2AE5BE3B3EEADB4B7F535FE939C5A0600E4E32EFEF6602A97B9CFDFA406XAT6M" TargetMode="External"/><Relationship Id="rId1664" Type="http://schemas.openxmlformats.org/officeDocument/2006/relationships/hyperlink" Target="consultantplus://offline/ref=6CE049F5DC23C8FECAAA43E48537996286A628D1FCB73CA7F1F8D2AE5BE3B3EEADB4B7F535FE9B9D5D0600E4E32EFEF6602A97B9CFDFA406XAT6M" TargetMode="External"/><Relationship Id="rId1871" Type="http://schemas.openxmlformats.org/officeDocument/2006/relationships/hyperlink" Target="consultantplus://offline/ref=6CE049F5DC23C8FECAAA43E48537996284A32EDCF1B23CA7F1F8D2AE5BE3B3EEADB4B7F535FE9B9D5C0600E4E32EFEF6602A97B9CFDFA406XAT6M" TargetMode="External"/><Relationship Id="rId1317" Type="http://schemas.openxmlformats.org/officeDocument/2006/relationships/hyperlink" Target="consultantplus://offline/ref=6CE049F5DC23C8FECAAA43E48537996284A02AD8F1B03CA7F1F8D2AE5BE3B3EEADB4B7F535FE9F9C5E0600E4E32EFEF6602A97B9CFDFA406XAT6M" TargetMode="External"/><Relationship Id="rId1524" Type="http://schemas.openxmlformats.org/officeDocument/2006/relationships/hyperlink" Target="consultantplus://offline/ref=6CE049F5DC23C8FECAAA43E48537996286A628DCF2B63CA7F1F8D2AE5BE3B3EEADB4B7F535FE989E530600E4E32EFEF6602A97B9CFDFA406XAT6M" TargetMode="External"/><Relationship Id="rId1731" Type="http://schemas.openxmlformats.org/officeDocument/2006/relationships/image" Target="media/image434.wmf"/><Relationship Id="rId23" Type="http://schemas.openxmlformats.org/officeDocument/2006/relationships/hyperlink" Target="consultantplus://offline/ref=6CE049F5DC23C8FECAAA43E48537996286A328DEF7BD3CA7F1F8D2AE5BE3B3EEADB4B7F535FE9B9F520600E4E32EFEF6602A97B9CFDFA406XAT6M" TargetMode="External"/><Relationship Id="rId1829" Type="http://schemas.openxmlformats.org/officeDocument/2006/relationships/image" Target="media/image521.wmf"/><Relationship Id="rId172" Type="http://schemas.openxmlformats.org/officeDocument/2006/relationships/hyperlink" Target="consultantplus://offline/ref=6CE049F5DC23C8FECAAA43E48537996284A62FDDF4B43CA7F1F8D2AE5BE3B3EEADB4B7F535FE9B9D530600E4E32EFEF6602A97B9CFDFA406XAT6M" TargetMode="External"/><Relationship Id="rId477" Type="http://schemas.openxmlformats.org/officeDocument/2006/relationships/hyperlink" Target="consultantplus://offline/ref=6CE049F5DC23C8FECAAA43E48537996286A628DCF2B63CA7F1F8D2AE5BE3B3EEADB4B7F535FE989E530600E4E32EFEF6602A97B9CFDFA406XAT6M" TargetMode="External"/><Relationship Id="rId684" Type="http://schemas.openxmlformats.org/officeDocument/2006/relationships/hyperlink" Target="consultantplus://offline/ref=6CE049F5DC23C8FECAAA43E48537996287A22AD1F3B13CA7F1F8D2AE5BE3B3EEADB4B7F535FE9B9D580600E4E32EFEF6602A97B9CFDFA406XAT6M" TargetMode="External"/><Relationship Id="rId337" Type="http://schemas.openxmlformats.org/officeDocument/2006/relationships/hyperlink" Target="consultantplus://offline/ref=6CE049F5DC23C8FECAAA43E48537996286A729D8F1B43CA7F1F8D2AE5BE3B3EEADB4B7F535FE9B9A5B0600E4E32EFEF6602A97B9CFDFA406XAT6M" TargetMode="External"/><Relationship Id="rId891" Type="http://schemas.openxmlformats.org/officeDocument/2006/relationships/image" Target="media/image120.wmf"/><Relationship Id="rId989" Type="http://schemas.openxmlformats.org/officeDocument/2006/relationships/hyperlink" Target="consultantplus://offline/ref=6CE049F5DC23C8FECAAA43E48537996286A22EDDF5B33CA7F1F8D2AE5BE3B3EEADB4B7F535FE9A9A530600E4E32EFEF6602A97B9CFDFA406XAT6M" TargetMode="External"/><Relationship Id="rId544" Type="http://schemas.openxmlformats.org/officeDocument/2006/relationships/hyperlink" Target="consultantplus://offline/ref=6CE049F5DC23C8FECAAA43E48537996287A226DDF5B13CA7F1F8D2AE5BE3B3EEBFB4EFF937F88599521356B5A5X7TBM" TargetMode="External"/><Relationship Id="rId751" Type="http://schemas.openxmlformats.org/officeDocument/2006/relationships/hyperlink" Target="consultantplus://offline/ref=6CE049F5DC23C8FECAAA43E48537996286A628DDF6B33CA7F1F8D2AE5BE3B3EEADB4B7F535FE9B9C520600E4E32EFEF6602A97B9CFDFA406XAT6M" TargetMode="External"/><Relationship Id="rId849" Type="http://schemas.openxmlformats.org/officeDocument/2006/relationships/hyperlink" Target="consultantplus://offline/ref=6CE049F5DC23C8FECAAA43E48537996286A02BD0F4BD3CA7F1F8D2AE5BE3B3EEADB4B7F535FE9A91590600E4E32EFEF6602A97B9CFDFA406XAT6M" TargetMode="External"/><Relationship Id="rId1174" Type="http://schemas.openxmlformats.org/officeDocument/2006/relationships/hyperlink" Target="consultantplus://offline/ref=6CE049F5DC23C8FECAAA43E48537996287A328DCF4B03CA7F1F8D2AE5BE3B3EEADB4B7F535FE9A9E5F0600E4E32EFEF6602A97B9CFDFA406XAT6M" TargetMode="External"/><Relationship Id="rId1381" Type="http://schemas.openxmlformats.org/officeDocument/2006/relationships/hyperlink" Target="consultantplus://offline/ref=6CE049F5DC23C8FECAAA43E48537996284A02AD8F1B03CA7F1F8D2AE5BE3B3EEADB4B7F731F5CFC81E5859B7A165F3FC783697B3XDT1M" TargetMode="External"/><Relationship Id="rId1479" Type="http://schemas.openxmlformats.org/officeDocument/2006/relationships/hyperlink" Target="consultantplus://offline/ref=6CE049F5DC23C8FECAAA43E48537996286A729DAFCB03CA7F1F8D2AE5BE3B3EEADB4B7F535FE9B9B5D0600E4E32EFEF6602A97B9CFDFA406XAT6M" TargetMode="External"/><Relationship Id="rId1686" Type="http://schemas.openxmlformats.org/officeDocument/2006/relationships/image" Target="media/image396.wmf"/><Relationship Id="rId404" Type="http://schemas.openxmlformats.org/officeDocument/2006/relationships/hyperlink" Target="consultantplus://offline/ref=6CE049F5DC23C8FECAAA4AFD8237996280A32FDCF7B73CA7F1F8D2AE5BE3B3EEBFB4EFF937F88599521356B5A5X7TBM" TargetMode="External"/><Relationship Id="rId611" Type="http://schemas.openxmlformats.org/officeDocument/2006/relationships/hyperlink" Target="consultantplus://offline/ref=6CE049F5DC23C8FECAAA43E48537996287AA2DDEF7B23CA7F1F8D2AE5BE3B3EEADB4B7F535FE9B9D580600E4E32EFEF6602A97B9CFDFA406XAT6M" TargetMode="External"/><Relationship Id="rId1034" Type="http://schemas.openxmlformats.org/officeDocument/2006/relationships/image" Target="media/image201.wmf"/><Relationship Id="rId1241" Type="http://schemas.openxmlformats.org/officeDocument/2006/relationships/hyperlink" Target="consultantplus://offline/ref=6CE049F5DC23C8FECAAA43E48537996286A229D0F3B43CA7F1F8D2AE5BE3B3EEADB4B7F535FE9B9E590600E4E32EFEF6602A97B9CFDFA406XAT6M" TargetMode="External"/><Relationship Id="rId1339" Type="http://schemas.openxmlformats.org/officeDocument/2006/relationships/hyperlink" Target="consultantplus://offline/ref=6CE049F5DC23C8FECAAA43E48537996286A628D1FCB73CA7F1F8D2AE5BE3B3EEADB4B7F535FE9B9D5D0600E4E32EFEF6602A97B9CFDFA406XAT6M" TargetMode="External"/><Relationship Id="rId709" Type="http://schemas.openxmlformats.org/officeDocument/2006/relationships/hyperlink" Target="consultantplus://offline/ref=6CE049F5DC23C8FECAAA43E48537996286A028DCFCB13CA7F1F8D2AE5BE3B3EEADB4B7F535FE9B9F5F0600E4E32EFEF6602A97B9CFDFA406XAT6M" TargetMode="External"/><Relationship Id="rId916" Type="http://schemas.openxmlformats.org/officeDocument/2006/relationships/hyperlink" Target="consultantplus://offline/ref=6CE049F5DC23C8FECAAA43E48537996287A02FDDF4B63CA7F1F8D2AE5BE3B3EEBFB4EFF937F88599521356B5A5X7TBM" TargetMode="External"/><Relationship Id="rId1101" Type="http://schemas.openxmlformats.org/officeDocument/2006/relationships/image" Target="media/image243.wmf"/><Relationship Id="rId1546" Type="http://schemas.openxmlformats.org/officeDocument/2006/relationships/image" Target="media/image274.wmf"/><Relationship Id="rId1753" Type="http://schemas.openxmlformats.org/officeDocument/2006/relationships/image" Target="media/image453.wmf"/><Relationship Id="rId45" Type="http://schemas.openxmlformats.org/officeDocument/2006/relationships/hyperlink" Target="consultantplus://offline/ref=6CE049F5DC23C8FECAAA43E48537996286A229D0F3B43CA7F1F8D2AE5BE3B3EEADB4B7F535FE9B9C520600E4E32EFEF6602A97B9CFDFA406XAT6M" TargetMode="External"/><Relationship Id="rId1406" Type="http://schemas.openxmlformats.org/officeDocument/2006/relationships/hyperlink" Target="consultantplus://offline/ref=6CE049F5DC23C8FECAAA43E48537996284A02AD8F1B03CA7F1F8D2AE5BE3B3EEADB4B7F535FE93905E0600E4E32EFEF6602A97B9CFDFA406XAT6M" TargetMode="External"/><Relationship Id="rId1613" Type="http://schemas.openxmlformats.org/officeDocument/2006/relationships/image" Target="media/image335.wmf"/><Relationship Id="rId1820" Type="http://schemas.openxmlformats.org/officeDocument/2006/relationships/image" Target="media/image514.wmf"/><Relationship Id="rId194" Type="http://schemas.openxmlformats.org/officeDocument/2006/relationships/hyperlink" Target="consultantplus://offline/ref=6CE049F5DC23C8FECAAA43E48537996284A52BDCFDB13CA7F1F8D2AE5BE3B3EEADB4B7F535FE9A9B5E0600E4E32EFEF6602A97B9CFDFA406XAT6M" TargetMode="External"/><Relationship Id="rId261" Type="http://schemas.openxmlformats.org/officeDocument/2006/relationships/hyperlink" Target="consultantplus://offline/ref=6CE049F5DC23C8FECAAA43E48537996286A72ED9F7B63CA7F1F8D2AE5BE3B3EEADB4B7F535FE9B9A5F0600E4E32EFEF6602A97B9CFDFA406XAT6M" TargetMode="External"/><Relationship Id="rId499" Type="http://schemas.openxmlformats.org/officeDocument/2006/relationships/hyperlink" Target="consultantplus://offline/ref=6CE049F5DC23C8FECAAA43E48537996287A326D1F7B73CA7F1F8D2AE5BE3B3EEADB4B7F535FE9A9D5F0600E4E32EFEF6602A97B9CFDFA406XAT6M" TargetMode="External"/><Relationship Id="rId359" Type="http://schemas.openxmlformats.org/officeDocument/2006/relationships/hyperlink" Target="consultantplus://offline/ref=6CE049F5DC23C8FECAAA43E48537996286A02ADBFDB63CA7F1F8D2AE5BE3B3EEADB4B7F535FE9B98580600E4E32EFEF6602A97B9CFDFA406XAT6M" TargetMode="External"/><Relationship Id="rId566" Type="http://schemas.openxmlformats.org/officeDocument/2006/relationships/hyperlink" Target="consultantplus://offline/ref=6CE049F5DC23C8FECAAA43E48537996286A028DCFCB13CA7F1F8D2AE5BE3B3EEADB4B7F535FE9B9B590600E4E32EFEF6602A97B9CFDFA406XAT6M" TargetMode="External"/><Relationship Id="rId773" Type="http://schemas.openxmlformats.org/officeDocument/2006/relationships/image" Target="media/image31.wmf"/><Relationship Id="rId1196" Type="http://schemas.openxmlformats.org/officeDocument/2006/relationships/hyperlink" Target="consultantplus://offline/ref=6CE049F5DC23C8FECAAA43E48537996287A328DCF4B03CA7F1F8D2AE5BE3B3EEADB4B7F535FE98985A0600E4E32EFEF6602A97B9CFDFA406XAT6M" TargetMode="External"/><Relationship Id="rId121" Type="http://schemas.openxmlformats.org/officeDocument/2006/relationships/hyperlink" Target="consultantplus://offline/ref=6CE049F5DC23C8FECAAA43E48537996286A729DAFCB03CA7F1F8D2AE5BE3B3EEADB4B7F535FF9B915F0600E4E32EFEF6602A97B9CFDFA406XAT6M" TargetMode="External"/><Relationship Id="rId219" Type="http://schemas.openxmlformats.org/officeDocument/2006/relationships/hyperlink" Target="consultantplus://offline/ref=6CE049F5DC23C8FECAAA43E48537996284A727D0F4B33CA7F1F8D2AE5BE3B3EEADB4B7F535FE9B9F5C0600E4E32EFEF6602A97B9CFDFA406XAT6M" TargetMode="External"/><Relationship Id="rId426" Type="http://schemas.openxmlformats.org/officeDocument/2006/relationships/hyperlink" Target="consultantplus://offline/ref=6CE049F5DC23C8FECAAA43E48537996286A02ADBFDB63CA7F1F8D2AE5BE3B3EEADB4B7F535FE9B98580600E4E32EFEF6602A97B9CFDFA406XAT6M" TargetMode="External"/><Relationship Id="rId633" Type="http://schemas.openxmlformats.org/officeDocument/2006/relationships/hyperlink" Target="consultantplus://offline/ref=6CE049F5DC23C8FECAAA43E48537996286A727D1F5BD3CA7F1F8D2AE5BE3B3EEBFB4EFF937F88599521356B5A5X7TBM" TargetMode="External"/><Relationship Id="rId980" Type="http://schemas.openxmlformats.org/officeDocument/2006/relationships/image" Target="media/image169.wmf"/><Relationship Id="rId1056" Type="http://schemas.openxmlformats.org/officeDocument/2006/relationships/hyperlink" Target="consultantplus://offline/ref=6CE049F5DC23C8FECAAA43E48537996287A02FDEF5B13CA7F1F8D2AE5BE3B3EEADB4B7F535FE9A9F5B0600E4E32EFEF6602A97B9CFDFA406XAT6M" TargetMode="External"/><Relationship Id="rId1263" Type="http://schemas.openxmlformats.org/officeDocument/2006/relationships/hyperlink" Target="consultantplus://offline/ref=6CE049F5DC23C8FECAAA43E48537996284A02ADBF0B53CA7F1F8D2AE5BE3B3EEADB4B7F535FE9B985A0600E4E32EFEF6602A97B9CFDFA406XAT6M" TargetMode="External"/><Relationship Id="rId840" Type="http://schemas.openxmlformats.org/officeDocument/2006/relationships/hyperlink" Target="consultantplus://offline/ref=6CE049F5DC23C8FECAAA43E48537996286A22EDDF5B33CA7F1F8D2AE5BE3B3EEADB4B7F535FE9B915E0600E4E32EFEF6602A97B9CFDFA406XAT6M" TargetMode="External"/><Relationship Id="rId938" Type="http://schemas.openxmlformats.org/officeDocument/2006/relationships/hyperlink" Target="consultantplus://offline/ref=6CE049F5DC23C8FECAAA43E48537996286A02BD0F4BD3CA7F1F8D2AE5BE3B3EEADB4B7F535FE99985B0600E4E32EFEF6602A97B9CFDFA406XAT6M" TargetMode="External"/><Relationship Id="rId1470" Type="http://schemas.openxmlformats.org/officeDocument/2006/relationships/hyperlink" Target="consultantplus://offline/ref=6CE049F5DC23C8FECAAA43E48537996284A026DDF2B13CA7F1F8D2AE5BE3B3EEADB4B7F535FE9B9D590600E4E32EFEF6602A97B9CFDFA406XAT6M" TargetMode="External"/><Relationship Id="rId1568" Type="http://schemas.openxmlformats.org/officeDocument/2006/relationships/image" Target="media/image296.wmf"/><Relationship Id="rId1775" Type="http://schemas.openxmlformats.org/officeDocument/2006/relationships/image" Target="media/image473.wmf"/><Relationship Id="rId67" Type="http://schemas.openxmlformats.org/officeDocument/2006/relationships/hyperlink" Target="consultantplus://offline/ref=6CE049F5DC23C8FECAAA43E48537996286A72ADDF6BC3CA7F1F8D2AE5BE3B3EEADB4B7F535FE9B985B0600E4E32EFEF6602A97B9CFDFA406XAT6M" TargetMode="External"/><Relationship Id="rId700" Type="http://schemas.openxmlformats.org/officeDocument/2006/relationships/hyperlink" Target="consultantplus://offline/ref=6CE049F5DC23C8FECAAA43E48537996286A628DDF6B33CA7F1F8D2AE5BE3B3EEADB4B7F535FE9B9B520600E4E32EFEF6602A97B9CFDFA406XAT6M" TargetMode="External"/><Relationship Id="rId1123" Type="http://schemas.openxmlformats.org/officeDocument/2006/relationships/hyperlink" Target="consultantplus://offline/ref=6CE049F5DC23C8FECAAA43E48537996284A52BDCFDB13CA7F1F8D2AE5BE3B3EEADB4B7F535FE999B520600E4E32EFEF6602A97B9CFDFA406XAT6M" TargetMode="External"/><Relationship Id="rId1330" Type="http://schemas.openxmlformats.org/officeDocument/2006/relationships/hyperlink" Target="consultantplus://offline/ref=6CE049F5DC23C8FECAAA43E48537996284A02AD8F1B03CA7F1F8D2AE5BE3B3EEADB4B7F535FE9F905C0600E4E32EFEF6602A97B9CFDFA406XAT6M" TargetMode="External"/><Relationship Id="rId1428" Type="http://schemas.openxmlformats.org/officeDocument/2006/relationships/hyperlink" Target="consultantplus://offline/ref=6CE049F5DC23C8FECAAA43E48537996284A02AD8F1B03CA7F1F8D2AE5BE3B3EEADB4B7F636FD90CD0B4901B8A57DEDF46E2A95B1D3XDTDM" TargetMode="External"/><Relationship Id="rId1635" Type="http://schemas.openxmlformats.org/officeDocument/2006/relationships/image" Target="media/image353.wmf"/><Relationship Id="rId1842" Type="http://schemas.openxmlformats.org/officeDocument/2006/relationships/image" Target="media/image530.wmf"/><Relationship Id="rId1702" Type="http://schemas.openxmlformats.org/officeDocument/2006/relationships/image" Target="media/image410.wmf"/><Relationship Id="rId283" Type="http://schemas.openxmlformats.org/officeDocument/2006/relationships/hyperlink" Target="consultantplus://offline/ref=6CE049F5DC23C8FECAAA43E48537996287A229D9FDB23CA7F1F8D2AE5BE3B3EEADB4B7F535FE9B9D5F0600E4E32EFEF6602A97B9CFDFA406XAT6M" TargetMode="External"/><Relationship Id="rId490" Type="http://schemas.openxmlformats.org/officeDocument/2006/relationships/hyperlink" Target="consultantplus://offline/ref=6CE049F5DC23C8FECAAA43E48537996286A62DDCFCB43CA7F1F8D2AE5BE3B3EEADB4B7F535FE9B9D5F0600E4E32EFEF6602A97B9CFDFA406XAT6M" TargetMode="External"/><Relationship Id="rId143" Type="http://schemas.openxmlformats.org/officeDocument/2006/relationships/hyperlink" Target="consultantplus://offline/ref=6CE049F5DC23C8FECAAA43E48537996287AA2ED1F7B63CA7F1F8D2AE5BE3B3EEADB4B7F535FE9B995C0600E4E32EFEF6602A97B9CFDFA406XAT6M" TargetMode="External"/><Relationship Id="rId350" Type="http://schemas.openxmlformats.org/officeDocument/2006/relationships/hyperlink" Target="consultantplus://offline/ref=6CE049F5DC23C8FECAAA43E48537996286A628DCF2B63CA7F1F8D2AE5BE3B3EEADB4B7F635FA99920E5C10E0AA79F5EA663C89B3D1DFXAT4M" TargetMode="External"/><Relationship Id="rId588" Type="http://schemas.openxmlformats.org/officeDocument/2006/relationships/hyperlink" Target="consultantplus://offline/ref=6CE049F5DC23C8FECAAA43E48537996286A028DCFCB13CA7F1F8D2AE5BE3B3EEADB4B7F535FE9B9B520600E4E32EFEF6602A97B9CFDFA406XAT6M" TargetMode="External"/><Relationship Id="rId795" Type="http://schemas.openxmlformats.org/officeDocument/2006/relationships/image" Target="media/image47.wmf"/><Relationship Id="rId9" Type="http://schemas.openxmlformats.org/officeDocument/2006/relationships/hyperlink" Target="consultantplus://offline/ref=6CE049F5DC23C8FECAAA43E48537996284A72FDAF6B03CA7F1F8D2AE5BE3B3EEADB4B7F535FE9B985D0600E4E32EFEF6602A97B9CFDFA406XAT6M" TargetMode="External"/><Relationship Id="rId210" Type="http://schemas.openxmlformats.org/officeDocument/2006/relationships/hyperlink" Target="consultantplus://offline/ref=6CE049F5DC23C8FECAAA43E48537996286A72ED9F7B63CA7F1F8D2AE5BE3B3EEADB4B7F535FE9B9B520600E4E32EFEF6602A97B9CFDFA406XAT6M" TargetMode="External"/><Relationship Id="rId448" Type="http://schemas.openxmlformats.org/officeDocument/2006/relationships/image" Target="media/image2.wmf"/><Relationship Id="rId655" Type="http://schemas.openxmlformats.org/officeDocument/2006/relationships/hyperlink" Target="consultantplus://offline/ref=6CE049F5DC23C8FECAAA43E48537996287AA2AD8F4BD3CA7F1F8D2AE5BE3B3EEADB4B7F535FE9B99530600E4E32EFEF6602A97B9CFDFA406XAT6M" TargetMode="External"/><Relationship Id="rId862" Type="http://schemas.openxmlformats.org/officeDocument/2006/relationships/image" Target="media/image103.wmf"/><Relationship Id="rId1078" Type="http://schemas.openxmlformats.org/officeDocument/2006/relationships/image" Target="media/image225.wmf"/><Relationship Id="rId1285" Type="http://schemas.openxmlformats.org/officeDocument/2006/relationships/hyperlink" Target="consultantplus://offline/ref=6CE049F5DC23C8FECAAA43E48537996284A02AD8F1B03CA7F1F8D2AE5BE3B3EEADB4B7F535FE98915C0600E4E32EFEF6602A97B9CFDFA406XAT6M" TargetMode="External"/><Relationship Id="rId1492" Type="http://schemas.openxmlformats.org/officeDocument/2006/relationships/hyperlink" Target="consultantplus://offline/ref=6CE049F5DC23C8FECAAA43E48537996284A026DDF2B13CA7F1F8D2AE5BE3B3EEADB4B7F535FE9E9B590600E4E32EFEF6602A97B9CFDFA406XAT6M" TargetMode="External"/><Relationship Id="rId308" Type="http://schemas.openxmlformats.org/officeDocument/2006/relationships/hyperlink" Target="consultantplus://offline/ref=6CE049F5DC23C8FECAAA43E48537996284A52BDCFDB13CA7F1F8D2AE5BE3B3EEADB4B7F535FE9A9A520600E4E32EFEF6602A97B9CFDFA406XAT6M" TargetMode="External"/><Relationship Id="rId515" Type="http://schemas.openxmlformats.org/officeDocument/2006/relationships/hyperlink" Target="consultantplus://offline/ref=6CE049F5DC23C8FECAAA43E48537996286A32CD8F6B23CA7F1F8D2AE5BE3B3EEADB4B7F535FF99995E0600E4E32EFEF6602A97B9CFDFA406XAT6M" TargetMode="External"/><Relationship Id="rId722" Type="http://schemas.openxmlformats.org/officeDocument/2006/relationships/hyperlink" Target="consultantplus://offline/ref=6CE049F5DC23C8FECAAA43E48537996287A226DDF5B13CA7F1F8D2AE5BE3B3EEADB4B7F535FE9A9F5A0600E4E32EFEF6602A97B9CFDFA406XAT6M" TargetMode="External"/><Relationship Id="rId1145" Type="http://schemas.openxmlformats.org/officeDocument/2006/relationships/hyperlink" Target="consultantplus://offline/ref=6CE049F5DC23C8FECAAA43E48537996287A22AD1F3B13CA7F1F8D2AE5BE3B3EEADB4B7F535FE9B9D5C0600E4E32EFEF6602A97B9CFDFA406XAT6M" TargetMode="External"/><Relationship Id="rId1352" Type="http://schemas.openxmlformats.org/officeDocument/2006/relationships/hyperlink" Target="consultantplus://offline/ref=6CE049F5DC23C8FECAAA43E48537996284A02AD8F1B03CA7F1F8D2AE5BE3B3EEADB4B7F535FE9D915D0600E4E32EFEF6602A97B9CFDFA406XAT6M" TargetMode="External"/><Relationship Id="rId1797" Type="http://schemas.openxmlformats.org/officeDocument/2006/relationships/image" Target="media/image493.wmf"/><Relationship Id="rId89" Type="http://schemas.openxmlformats.org/officeDocument/2006/relationships/hyperlink" Target="consultantplus://offline/ref=6CE049F5DC23C8FECAAA43E48537996287A22AD1F3B13CA7F1F8D2AE5BE3B3EEADB4B7F535FE9B995F0600E4E32EFEF6602A97B9CFDFA406XAT6M" TargetMode="External"/><Relationship Id="rId1005" Type="http://schemas.openxmlformats.org/officeDocument/2006/relationships/hyperlink" Target="consultantplus://offline/ref=6CE049F5DC23C8FECAAA43E48537996287A02FDDF4B63CA7F1F8D2AE5BE3B3EEBFB4EFF937F88599521356B5A5X7TBM" TargetMode="External"/><Relationship Id="rId1212" Type="http://schemas.openxmlformats.org/officeDocument/2006/relationships/hyperlink" Target="consultantplus://offline/ref=6CE049F5DC23C8FECAAA43E48537996287A328DCF4B03CA7F1F8D2AE5BE3B3EEADB4B7F535FE98905F0600E4E32EFEF6602A97B9CFDFA406XAT6M" TargetMode="External"/><Relationship Id="rId1657" Type="http://schemas.openxmlformats.org/officeDocument/2006/relationships/image" Target="media/image373.wmf"/><Relationship Id="rId1864" Type="http://schemas.openxmlformats.org/officeDocument/2006/relationships/hyperlink" Target="consultantplus://offline/ref=6CE049F5DC23C8FECAAA43E4853799628CA02CDAFCBE61ADF9A1DEAC5CECECF9AAFDBBF435FE9A9E515905F1F276F1F278349FAFD3DDA6X0T4M" TargetMode="External"/><Relationship Id="rId1517" Type="http://schemas.openxmlformats.org/officeDocument/2006/relationships/hyperlink" Target="consultantplus://offline/ref=6CE049F5DC23C8FECAAA43E48537996284A028D0F6B43CA7F1F8D2AE5BE3B3EEADB4B7F535FE9B9B5D0600E4E32EFEF6602A97B9CFDFA406XAT6M" TargetMode="External"/><Relationship Id="rId1724" Type="http://schemas.openxmlformats.org/officeDocument/2006/relationships/hyperlink" Target="consultantplus://offline/ref=6CE049F5DC23C8FECAAA43E48537996284A028D0F6B43CA7F1F8D2AE5BE3B3EEADB4B7F535FE9A9B5C0600E4E32EFEF6602A97B9CFDFA406XAT6M" TargetMode="External"/><Relationship Id="rId16" Type="http://schemas.openxmlformats.org/officeDocument/2006/relationships/hyperlink" Target="consultantplus://offline/ref=6CE049F5DC23C8FECAAA43E48537996284A52AD0F6BC3CA7F1F8D2AE5BE3B3EEADB4B7F535FE9B9A5D0600E4E32EFEF6602A97B9CFDFA406XAT6M" TargetMode="External"/><Relationship Id="rId165" Type="http://schemas.openxmlformats.org/officeDocument/2006/relationships/hyperlink" Target="consultantplus://offline/ref=6CE049F5DC23C8FECAAA43E48537996284A62FDDF4B43CA7F1F8D2AE5BE3B3EEADB4B7F535FE9B9D5E0600E4E32EFEF6602A97B9CFDFA406XAT6M" TargetMode="External"/><Relationship Id="rId372" Type="http://schemas.openxmlformats.org/officeDocument/2006/relationships/hyperlink" Target="consultantplus://offline/ref=6CE049F5DC23C8FECAAA43E48537996286A729DAFCB03CA7F1F8D2AE5BE3B3EEADB4B7F037F5CFC81E5859B7A165F3FC783697B3XDT1M" TargetMode="External"/><Relationship Id="rId677" Type="http://schemas.openxmlformats.org/officeDocument/2006/relationships/hyperlink" Target="consultantplus://offline/ref=6CE049F5DC23C8FECAAA43E48537996287A22AD1F3B13CA7F1F8D2AE5BE3B3EEADB4B7F535FE9B9A5C0600E4E32EFEF6602A97B9CFDFA406XAT6M" TargetMode="External"/><Relationship Id="rId232" Type="http://schemas.openxmlformats.org/officeDocument/2006/relationships/hyperlink" Target="consultantplus://offline/ref=6CE049F5DC23C8FECAAA43E48537996286A626DBFDB03CA7F1F8D2AE5BE3B3EEADB4B7F535FE9B9E5D0600E4E32EFEF6602A97B9CFDFA406XAT6M" TargetMode="External"/><Relationship Id="rId884" Type="http://schemas.openxmlformats.org/officeDocument/2006/relationships/hyperlink" Target="consultantplus://offline/ref=6CE049F5DC23C8FECAAA43E48537996286A22EDDF5B33CA7F1F8D2AE5BE3B3EEADB4B7F535FE9B90520600E4E32EFEF6602A97B9CFDFA406XAT6M" TargetMode="External"/><Relationship Id="rId537" Type="http://schemas.openxmlformats.org/officeDocument/2006/relationships/hyperlink" Target="consultantplus://offline/ref=6CE049F5DC23C8FECAAA43E48537996286A72ADFF7B33CA7F1F8D2AE5BE3B3EEADB4B7F535FE9B98590600E4E32EFEF6602A97B9CFDFA406XAT6M" TargetMode="External"/><Relationship Id="rId744" Type="http://schemas.openxmlformats.org/officeDocument/2006/relationships/hyperlink" Target="consultantplus://offline/ref=6CE049F5DC23C8FECAAA43E48537996286A729DAFCB03CA7F1F8D2AE5BE3B3EEADB4B7F535FE9B9B5D0600E4E32EFEF6602A97B9CFDFA406XAT6M" TargetMode="External"/><Relationship Id="rId951" Type="http://schemas.openxmlformats.org/officeDocument/2006/relationships/image" Target="media/image152.wmf"/><Relationship Id="rId1167" Type="http://schemas.openxmlformats.org/officeDocument/2006/relationships/hyperlink" Target="consultantplus://offline/ref=6CE049F5DC23C8FECAAA43E48537996287A328DCF4B03CA7F1F8D2AE5BE3B3EEADB4B7F535FE9A9A520600E4E32EFEF6602A97B9CFDFA406XAT6M" TargetMode="External"/><Relationship Id="rId1374" Type="http://schemas.openxmlformats.org/officeDocument/2006/relationships/hyperlink" Target="consultantplus://offline/ref=6CE049F5DC23C8FECAAA43E48537996284A02AD8F1B03CA7F1F8D2AE5BE3B3EEADB4B7F535FE939A520600E4E32EFEF6602A97B9CFDFA406XAT6M" TargetMode="External"/><Relationship Id="rId1581" Type="http://schemas.openxmlformats.org/officeDocument/2006/relationships/image" Target="media/image307.wmf"/><Relationship Id="rId1679" Type="http://schemas.openxmlformats.org/officeDocument/2006/relationships/image" Target="media/image391.wmf"/><Relationship Id="rId80" Type="http://schemas.openxmlformats.org/officeDocument/2006/relationships/hyperlink" Target="consultantplus://offline/ref=6CE049F5DC23C8FECAAA43E48537996284AB2ED0FCB33CA7F1F8D2AE5BE3B3EEADB4B7F535FE9A9D530600E4E32EFEF6602A97B9CFDFA406XAT6M" TargetMode="External"/><Relationship Id="rId604" Type="http://schemas.openxmlformats.org/officeDocument/2006/relationships/hyperlink" Target="consultantplus://offline/ref=6CE049F5DC23C8FECAAA43E48537996287AA2DDEF7B23CA7F1F8D2AE5BE3B3EEADB4B7F535FE9B9A520600E4E32EFEF6602A97B9CFDFA406XAT6M" TargetMode="External"/><Relationship Id="rId811" Type="http://schemas.openxmlformats.org/officeDocument/2006/relationships/image" Target="media/image63.wmf"/><Relationship Id="rId1027" Type="http://schemas.openxmlformats.org/officeDocument/2006/relationships/image" Target="media/image196.wmf"/><Relationship Id="rId1234" Type="http://schemas.openxmlformats.org/officeDocument/2006/relationships/hyperlink" Target="consultantplus://offline/ref=6CE049F5DC23C8FECAAA43E48537996286A32CD8F6B23CA7F1F8D2AE5BE3B3EEADB4B7F535FF999B5E0600E4E32EFEF6602A97B9CFDFA406XAT6M" TargetMode="External"/><Relationship Id="rId1441" Type="http://schemas.openxmlformats.org/officeDocument/2006/relationships/hyperlink" Target="consultantplus://offline/ref=6CE049F5DC23C8FECAAA43E48537996284A02AD8F1B03CA7F1F8D2AE5BE3B3EEADB4B7F037FB90CD0B4901B8A57DEDF46E2A95B1D3XDTDM" TargetMode="External"/><Relationship Id="rId909" Type="http://schemas.openxmlformats.org/officeDocument/2006/relationships/image" Target="media/image131.wmf"/><Relationship Id="rId1301" Type="http://schemas.openxmlformats.org/officeDocument/2006/relationships/hyperlink" Target="consultantplus://offline/ref=6CE049F5DC23C8FECAAA43E48537996284A02AD8F1B03CA7F1F8D2AE5BE3B3EEADB4B7F535FE9F985C0600E4E32EFEF6602A97B9CFDFA406XAT6M" TargetMode="External"/><Relationship Id="rId1539" Type="http://schemas.openxmlformats.org/officeDocument/2006/relationships/image" Target="media/image267.wmf"/><Relationship Id="rId1746" Type="http://schemas.openxmlformats.org/officeDocument/2006/relationships/image" Target="media/image447.wmf"/><Relationship Id="rId38" Type="http://schemas.openxmlformats.org/officeDocument/2006/relationships/hyperlink" Target="consultantplus://offline/ref=6CE049F5DC23C8FECAAA43E48537996287AA2DDCFCB63CA7F1F8D2AE5BE3B3EEADB4B7F535FE9B9B5B0600E4E32EFEF6602A97B9CFDFA406XAT6M" TargetMode="External"/><Relationship Id="rId1606" Type="http://schemas.openxmlformats.org/officeDocument/2006/relationships/image" Target="media/image328.wmf"/><Relationship Id="rId1813" Type="http://schemas.openxmlformats.org/officeDocument/2006/relationships/image" Target="media/image507.wmf"/><Relationship Id="rId187" Type="http://schemas.openxmlformats.org/officeDocument/2006/relationships/hyperlink" Target="consultantplus://offline/ref=6CE049F5DC23C8FECAAA43E48537996286A626DBFDB03CA7F1F8D2AE5BE3B3EEADB4B7F535FE9B9F520600E4E32EFEF6602A97B9CFDFA406XAT6M" TargetMode="External"/><Relationship Id="rId394" Type="http://schemas.openxmlformats.org/officeDocument/2006/relationships/hyperlink" Target="consultantplus://offline/ref=6CE049F5DC23C8FECAAA43E48537996286A628DCF2B63CA7F1F8D2AE5BE3B3EEADB4B7F630FB9C920E5C10E0AA79F5EA663C89B3D1DFXAT4M" TargetMode="External"/><Relationship Id="rId254" Type="http://schemas.openxmlformats.org/officeDocument/2006/relationships/hyperlink" Target="consultantplus://offline/ref=6CE049F5DC23C8FECAAA43E48537996286A72ED9F7B63CA7F1F8D2AE5BE3B3EEADB4B7F535FE9B9A590600E4E32EFEF6602A97B9CFDFA406XAT6M" TargetMode="External"/><Relationship Id="rId699" Type="http://schemas.openxmlformats.org/officeDocument/2006/relationships/hyperlink" Target="consultantplus://offline/ref=6CE049F5DC23C8FECAAA43E48537996284A62FDDF4B43CA7F1F8D2AE5BE3B3EEADB4B7F535FE99985E0600E4E32EFEF6602A97B9CFDFA406XAT6M" TargetMode="External"/><Relationship Id="rId1091" Type="http://schemas.openxmlformats.org/officeDocument/2006/relationships/image" Target="media/image237.wmf"/><Relationship Id="rId114" Type="http://schemas.openxmlformats.org/officeDocument/2006/relationships/hyperlink" Target="consultantplus://offline/ref=6CE049F5DC23C8FECAAA43E48537996286A62DDCFCB43CA7F1F8D2AE5BE3B3EEADB4B7F535FE9B9A5C0600E4E32EFEF6602A97B9CFDFA406XAT6M" TargetMode="External"/><Relationship Id="rId461" Type="http://schemas.openxmlformats.org/officeDocument/2006/relationships/hyperlink" Target="consultantplus://offline/ref=6CE049F5DC23C8FECAAA43E48537996284A52BDCFDB13CA7F1F8D2AE5BE3B3EEADB4B7F535FE9A90590600E4E32EFEF6602A97B9CFDFA406XAT6M" TargetMode="External"/><Relationship Id="rId559" Type="http://schemas.openxmlformats.org/officeDocument/2006/relationships/hyperlink" Target="consultantplus://offline/ref=6CE049F5DC23C8FECAAA43E48537996287A226DDF5B13CA7F1F8D2AE5BE3B3EEADB4B7F535FE9A9D5F0600E4E32EFEF6602A97B9CFDFA406XAT6M" TargetMode="External"/><Relationship Id="rId766" Type="http://schemas.openxmlformats.org/officeDocument/2006/relationships/hyperlink" Target="consultantplus://offline/ref=6CE049F5DC23C8FECAAA43E48537996286A028D8F3B73CA7F1F8D2AE5BE3B3EEADB4B7F535FE99915D0600E4E32EFEF6602A97B9CFDFA406XAT6M" TargetMode="External"/><Relationship Id="rId1189" Type="http://schemas.openxmlformats.org/officeDocument/2006/relationships/hyperlink" Target="consultantplus://offline/ref=6CE049F5DC23C8FECAAA43E48537996287A328DCF4B03CA7F1F8D2AE5BE3B3EEADB4B7F535FE999E5B0600E4E32EFEF6602A97B9CFDFA406XAT6M" TargetMode="External"/><Relationship Id="rId1396" Type="http://schemas.openxmlformats.org/officeDocument/2006/relationships/hyperlink" Target="consultantplus://offline/ref=6CE049F5DC23C8FECAAA43E48537996284A02AD8F1B03CA7F1F8D2AE5BE3B3EEADB4B7F535FE939F520600E4E32EFEF6602A97B9CFDFA406XAT6M" TargetMode="External"/><Relationship Id="rId321" Type="http://schemas.openxmlformats.org/officeDocument/2006/relationships/hyperlink" Target="consultantplus://offline/ref=6CE049F5DC23C8FECAAA43E48537996286A72ED1F3B43CA7F1F8D2AE5BE3B3EEADB4B7F535FE9B985E0600E4E32EFEF6602A97B9CFDFA406XAT6M" TargetMode="External"/><Relationship Id="rId419" Type="http://schemas.openxmlformats.org/officeDocument/2006/relationships/hyperlink" Target="consultantplus://offline/ref=6CE049F5DC23C8FECAAA43E48537996286A628D1FCB73CA7F1F8D2AE5BE3B3EEADB4B7F535FE9B9D5D0600E4E32EFEF6602A97B9CFDFA406XAT6M" TargetMode="External"/><Relationship Id="rId626" Type="http://schemas.openxmlformats.org/officeDocument/2006/relationships/hyperlink" Target="consultantplus://offline/ref=6CE049F5DC23C8FECAAA43E48537996287A22AD1F3B13CA7F1F8D2AE5BE3B3EEADB4B7F535FE9B98580600E4E32EFEF6602A97B9CFDFA406XAT6M" TargetMode="External"/><Relationship Id="rId973" Type="http://schemas.openxmlformats.org/officeDocument/2006/relationships/image" Target="media/image165.wmf"/><Relationship Id="rId1049" Type="http://schemas.openxmlformats.org/officeDocument/2006/relationships/image" Target="media/image210.wmf"/><Relationship Id="rId1256" Type="http://schemas.openxmlformats.org/officeDocument/2006/relationships/hyperlink" Target="consultantplus://offline/ref=6CE049F5DC23C8FECAAA43E48537996286A128DEF7B43CA7F1F8D2AE5BE3B3EEADB4B7F535FE9A9E5F0600E4E32EFEF6602A97B9CFDFA406XAT6M" TargetMode="External"/><Relationship Id="rId833" Type="http://schemas.openxmlformats.org/officeDocument/2006/relationships/image" Target="media/image83.wmf"/><Relationship Id="rId1116" Type="http://schemas.openxmlformats.org/officeDocument/2006/relationships/hyperlink" Target="consultantplus://offline/ref=6CE049F5DC23C8FECAAA43E48537996286A02AD9F1B53CA7F1F8D2AE5BE3B3EEADB4B7F535FE9E9F5D0600E4E32EFEF6602A97B9CFDFA406XAT6M" TargetMode="External"/><Relationship Id="rId1463" Type="http://schemas.openxmlformats.org/officeDocument/2006/relationships/hyperlink" Target="consultantplus://offline/ref=6CE049F5DC23C8FECAAA43E48537996286A02ADBFDB63CA7F1F8D2AE5BE3B3EEADB4B7F535FE9B98580600E4E32EFEF6602A97B9CFDFA406XAT6M" TargetMode="External"/><Relationship Id="rId1670" Type="http://schemas.openxmlformats.org/officeDocument/2006/relationships/image" Target="media/image383.wmf"/><Relationship Id="rId1768" Type="http://schemas.openxmlformats.org/officeDocument/2006/relationships/image" Target="media/image466.wmf"/><Relationship Id="rId900" Type="http://schemas.openxmlformats.org/officeDocument/2006/relationships/image" Target="media/image124.wmf"/><Relationship Id="rId1323" Type="http://schemas.openxmlformats.org/officeDocument/2006/relationships/hyperlink" Target="consultantplus://offline/ref=6CE049F5DC23C8FECAAA43E48537996284A02AD8F1B03CA7F1F8D2AE5BE3B3EEADB4B7F535FE929C590600E4E32EFEF6602A97B9CFDFA406XAT6M" TargetMode="External"/><Relationship Id="rId1530" Type="http://schemas.openxmlformats.org/officeDocument/2006/relationships/image" Target="media/image259.wmf"/><Relationship Id="rId1628" Type="http://schemas.openxmlformats.org/officeDocument/2006/relationships/image" Target="media/image347.wmf"/><Relationship Id="rId1835" Type="http://schemas.openxmlformats.org/officeDocument/2006/relationships/image" Target="media/image526.wmf"/><Relationship Id="rId276" Type="http://schemas.openxmlformats.org/officeDocument/2006/relationships/hyperlink" Target="consultantplus://offline/ref=6CE049F5DC23C8FECAAA43E48537996286A628DCF2B63CA7F1F8D2AE5BE3B3EEADB4B7F535FE989E530600E4E32EFEF6602A97B9CFDFA406XAT6M" TargetMode="External"/><Relationship Id="rId483" Type="http://schemas.openxmlformats.org/officeDocument/2006/relationships/image" Target="media/image19.wmf"/><Relationship Id="rId690" Type="http://schemas.openxmlformats.org/officeDocument/2006/relationships/hyperlink" Target="consultantplus://offline/ref=6CE049F5DC23C8FECAAA43E48537996284A62FDDF4B43CA7F1F8D2AE5BE3B3EEADB4B7F535FE99995B0600E4E32EFEF6602A97B9CFDFA406XAT6M" TargetMode="External"/><Relationship Id="rId136" Type="http://schemas.openxmlformats.org/officeDocument/2006/relationships/hyperlink" Target="consultantplus://offline/ref=6CE049F5DC23C8FECAAA43E48537996286A229D0F3B43CA7F1F8D2AE5BE3B3EEADB4B7F535FE9B9F5B0600E4E32EFEF6602A97B9CFDFA406XAT6M" TargetMode="External"/><Relationship Id="rId343" Type="http://schemas.openxmlformats.org/officeDocument/2006/relationships/hyperlink" Target="consultantplus://offline/ref=6CE049F5DC23C8FECAAA43E48537996286A628DCF2B63CA7F1F8D2AE5BE3B3EEADB4B7F535FE989E530600E4E32EFEF6602A97B9CFDFA406XAT6M" TargetMode="External"/><Relationship Id="rId550" Type="http://schemas.openxmlformats.org/officeDocument/2006/relationships/hyperlink" Target="consultantplus://offline/ref=6CE049F5DC23C8FECAAA43E48537996286A22ED1FCB03CA7F1F8D2AE5BE3B3EEADB4B7F535FE9B9D5B0600E4E32EFEF6602A97B9CFDFA406XAT6M" TargetMode="External"/><Relationship Id="rId788" Type="http://schemas.openxmlformats.org/officeDocument/2006/relationships/image" Target="media/image41.wmf"/><Relationship Id="rId995" Type="http://schemas.openxmlformats.org/officeDocument/2006/relationships/hyperlink" Target="consultantplus://offline/ref=6CE049F5DC23C8FECAAA43E48537996287A02FDEF5B13CA7F1F8D2AE5BE3B3EEADB4B7F535FE9A9C5C0600E4E32EFEF6602A97B9CFDFA406XAT6M" TargetMode="External"/><Relationship Id="rId1180" Type="http://schemas.openxmlformats.org/officeDocument/2006/relationships/hyperlink" Target="consultantplus://offline/ref=6CE049F5DC23C8FECAAA43E48537996287A328DCF4B03CA7F1F8D2AE5BE3B3EEADB4B7F535FE9A90530600E4E32EFEF6602A97B9CFDFA406XAT6M" TargetMode="External"/><Relationship Id="rId203" Type="http://schemas.openxmlformats.org/officeDocument/2006/relationships/hyperlink" Target="consultantplus://offline/ref=6CE049F5DC23C8FECAAA43E48537996286A626DBFDB03CA7F1F8D2AE5BE3B3EEADB4B7F535FE9B9E580600E4E32EFEF6602A97B9CFDFA406XAT6M" TargetMode="External"/><Relationship Id="rId648" Type="http://schemas.openxmlformats.org/officeDocument/2006/relationships/hyperlink" Target="consultantplus://offline/ref=6CE049F5DC23C8FECAAA43E48537996287AA2DDEF7B23CA7F1F8D2AE5BE3B3EEADB4B7F535FE9B9C5B0600E4E32EFEF6602A97B9CFDFA406XAT6M" TargetMode="External"/><Relationship Id="rId855" Type="http://schemas.openxmlformats.org/officeDocument/2006/relationships/image" Target="media/image98.wmf"/><Relationship Id="rId1040" Type="http://schemas.openxmlformats.org/officeDocument/2006/relationships/hyperlink" Target="consultantplus://offline/ref=6CE049F5DC23C8FECAAA43E48537996286A22EDDF5B33CA7F1F8D2AE5BE3B3EEADB4B7F535FE9A9C520600E4E32EFEF6602A97B9CFDFA406XAT6M" TargetMode="External"/><Relationship Id="rId1278" Type="http://schemas.openxmlformats.org/officeDocument/2006/relationships/hyperlink" Target="consultantplus://offline/ref=6CE049F5DC23C8FECAAA43E48537996286A02ADBFDB63CA7F1F8D2AE5BE3B3EEADB4B7F535FE99915A0600E4E32EFEF6602A97B9CFDFA406XAT6M" TargetMode="External"/><Relationship Id="rId1485" Type="http://schemas.openxmlformats.org/officeDocument/2006/relationships/hyperlink" Target="consultantplus://offline/ref=6CE049F5DC23C8FECAAA43E48537996284A026DDF2B13CA7F1F8D2AE5BE3B3EEADB4B7F535FE9F905D0600E4E32EFEF6602A97B9CFDFA406XAT6M" TargetMode="External"/><Relationship Id="rId1692" Type="http://schemas.openxmlformats.org/officeDocument/2006/relationships/image" Target="media/image401.wmf"/><Relationship Id="rId410" Type="http://schemas.openxmlformats.org/officeDocument/2006/relationships/hyperlink" Target="consultantplus://offline/ref=6CE049F5DC23C8FECAAA43E48537996286A22ED1FCB03CA7F1F8D2AE5BE3B3EEADB4B7F535FE9B9A5C0600E4E32EFEF6602A97B9CFDFA406XAT6M" TargetMode="External"/><Relationship Id="rId508" Type="http://schemas.openxmlformats.org/officeDocument/2006/relationships/hyperlink" Target="consultantplus://offline/ref=6CE049F5DC23C8FECAAA43E48537996286A628DCF2B63CA7F1F8D2AE5BE3B3EEADB4B7F535FE9E9F5E0600E4E32EFEF6602A97B9CFDFA406XAT6M" TargetMode="External"/><Relationship Id="rId715" Type="http://schemas.openxmlformats.org/officeDocument/2006/relationships/hyperlink" Target="consultantplus://offline/ref=6CE049F5DC23C8FECAAA43E48537996286A62DD9F1B63CA7F1F8D2AE5BE3B3EEBFB4EFF937F88599521356B5A5X7TBM" TargetMode="External"/><Relationship Id="rId922" Type="http://schemas.openxmlformats.org/officeDocument/2006/relationships/image" Target="media/image138.wmf"/><Relationship Id="rId1138" Type="http://schemas.openxmlformats.org/officeDocument/2006/relationships/hyperlink" Target="consultantplus://offline/ref=6CE049F5DC23C8FECAAA43E48537996284A52BDCFDB13CA7F1F8D2AE5BE3B3EEADB4B7F535FE999A580600E4E32EFEF6602A97B9CFDFA406XAT6M" TargetMode="External"/><Relationship Id="rId1345" Type="http://schemas.openxmlformats.org/officeDocument/2006/relationships/hyperlink" Target="consultantplus://offline/ref=6CE049F5DC23C8FECAAA43E48537996284A02AD8F1B03CA7F1F8D2AE5BE3B3EEADB4B7F534F5CFC81E5859B7A165F3FC783697B3XDT1M" TargetMode="External"/><Relationship Id="rId1552" Type="http://schemas.openxmlformats.org/officeDocument/2006/relationships/image" Target="media/image280.wmf"/><Relationship Id="rId1205" Type="http://schemas.openxmlformats.org/officeDocument/2006/relationships/hyperlink" Target="consultantplus://offline/ref=6CE049F5DC23C8FECAAA43E48537996287A328DCF4B03CA7F1F8D2AE5BE3B3EEADB4B7F535FE989F5E0600E4E32EFEF6602A97B9CFDFA406XAT6M" TargetMode="External"/><Relationship Id="rId1857" Type="http://schemas.openxmlformats.org/officeDocument/2006/relationships/hyperlink" Target="consultantplus://offline/ref=6CE049F5DC23C8FECAAA43E48537996284A32EDCF0B13CA7F1F8D2AE5BE3B3EEBFB4EFF937F88599521356B5A5X7TBM" TargetMode="External"/><Relationship Id="rId51" Type="http://schemas.openxmlformats.org/officeDocument/2006/relationships/hyperlink" Target="consultantplus://offline/ref=6CE049F5DC23C8FECAAA43E48537996286A028DCFCB13CA7F1F8D2AE5BE3B3EEADB4B7F535FE9B98520600E4E32EFEF6602A97B9CFDFA406XAT6M" TargetMode="External"/><Relationship Id="rId1412" Type="http://schemas.openxmlformats.org/officeDocument/2006/relationships/hyperlink" Target="consultantplus://offline/ref=6CE049F5DC23C8FECAAA43E48537996284A02AD8F1B03CA7F1F8D2AE5BE3B3EEADB4B7F233F5CFC81E5859B7A165F3FC783697B3XDT1M" TargetMode="External"/><Relationship Id="rId1717" Type="http://schemas.openxmlformats.org/officeDocument/2006/relationships/image" Target="media/image424.wmf"/><Relationship Id="rId298" Type="http://schemas.openxmlformats.org/officeDocument/2006/relationships/hyperlink" Target="consultantplus://offline/ref=6CE049F5DC23C8FECAAA43E48537996287A328DCF4B03CA7F1F8D2AE5BE3B3EEADB4B7F535FE9B91580600E4E32EFEF6602A97B9CFDFA406XAT6M" TargetMode="External"/><Relationship Id="rId158" Type="http://schemas.openxmlformats.org/officeDocument/2006/relationships/hyperlink" Target="consultantplus://offline/ref=6CE049F5DC23C8FECAAA43E48537996286A72ED9F7B63CA7F1F8D2AE5BE3B3EEADB4B7F535FE9B9B5E0600E4E32EFEF6602A97B9CFDFA406XAT6M" TargetMode="External"/><Relationship Id="rId365" Type="http://schemas.openxmlformats.org/officeDocument/2006/relationships/hyperlink" Target="consultantplus://offline/ref=6CE049F5DC23C8FECAAA43E48537996287A326D1F7B73CA7F1F8D2AE5BE3B3EEADB4B7F535FE9A9D580600E4E32EFEF6602A97B9CFDFA406XAT6M" TargetMode="External"/><Relationship Id="rId572" Type="http://schemas.openxmlformats.org/officeDocument/2006/relationships/image" Target="media/image26.wmf"/><Relationship Id="rId225" Type="http://schemas.openxmlformats.org/officeDocument/2006/relationships/hyperlink" Target="consultantplus://offline/ref=6CE049F5DC23C8FECAAA43E48537996286A628DCF2B63CA7F1F8D2AE5BE3B3EEADB4B7F535FF98995E0600E4E32EFEF6602A97B9CFDFA406XAT6M" TargetMode="External"/><Relationship Id="rId432" Type="http://schemas.openxmlformats.org/officeDocument/2006/relationships/hyperlink" Target="consultantplus://offline/ref=6CE049F5DC23C8FECAAA43E48537996284A52BDCFDB13CA7F1F8D2AE5BE3B3EEADB4B7F535FE9A905B0600E4E32EFEF6602A97B9CFDFA406XAT6M" TargetMode="External"/><Relationship Id="rId877" Type="http://schemas.openxmlformats.org/officeDocument/2006/relationships/hyperlink" Target="consultantplus://offline/ref=6CE049F5DC23C8FECAAA43E48537996286A02BD0F4BD3CA7F1F8D2AE5BE3B3EEADB4B7F535FE9A90590600E4E32EFEF6602A97B9CFDFA406XAT6M" TargetMode="External"/><Relationship Id="rId1062" Type="http://schemas.openxmlformats.org/officeDocument/2006/relationships/image" Target="media/image215.wmf"/><Relationship Id="rId737" Type="http://schemas.openxmlformats.org/officeDocument/2006/relationships/hyperlink" Target="consultantplus://offline/ref=6CE049F5DC23C8FECAAA43E48537996284A62FDDF5B53CA7F1F8D2AE5BE3B3EEADB4B7F535FE9B9B580600E4E32EFEF6602A97B9CFDFA406XAT6M" TargetMode="External"/><Relationship Id="rId944" Type="http://schemas.openxmlformats.org/officeDocument/2006/relationships/hyperlink" Target="consultantplus://offline/ref=6CE049F5DC23C8FECAAA43E48537996286A22EDDF5B33CA7F1F8D2AE5BE3B3EEADB4B7F535FE9A9B5B0600E4E32EFEF6602A97B9CFDFA406XAT6M" TargetMode="External"/><Relationship Id="rId1367" Type="http://schemas.openxmlformats.org/officeDocument/2006/relationships/hyperlink" Target="consultantplus://offline/ref=6CE049F5DC23C8FECAAA43E48537996284A02AD8F1B03CA7F1F8D2AE5BE3B3EEADB4B7F231F5CFC81E5859B7A165F3FC783697B3XDT1M" TargetMode="External"/><Relationship Id="rId1574" Type="http://schemas.openxmlformats.org/officeDocument/2006/relationships/image" Target="media/image301.wmf"/><Relationship Id="rId1781" Type="http://schemas.openxmlformats.org/officeDocument/2006/relationships/image" Target="media/image478.wmf"/><Relationship Id="rId73" Type="http://schemas.openxmlformats.org/officeDocument/2006/relationships/hyperlink" Target="consultantplus://offline/ref=6CE049F5DC23C8FECAAA43E48537996287AA29DBF2B53CA7F1F8D2AE5BE3B3EEADB4B7F535FE9B9C5B0600E4E32EFEF6602A97B9CFDFA406XAT6M" TargetMode="External"/><Relationship Id="rId804" Type="http://schemas.openxmlformats.org/officeDocument/2006/relationships/image" Target="media/image56.wmf"/><Relationship Id="rId1227" Type="http://schemas.openxmlformats.org/officeDocument/2006/relationships/hyperlink" Target="consultantplus://offline/ref=6CE049F5DC23C8FECAAA43E48537996286A32CD8F6B23CA7F1F8D2AE5BE3B3EEADB4B7F535FF99985A0600E4E32EFEF6602A97B9CFDFA406XAT6M" TargetMode="External"/><Relationship Id="rId1434" Type="http://schemas.openxmlformats.org/officeDocument/2006/relationships/hyperlink" Target="consultantplus://offline/ref=6CE049F5DC23C8FECAAA43E48537996284A02AD8F1B03CA7F1F8D2AE5BE3B3EEADB4B7F736F990CD0B4901B8A57DEDF46E2A95B1D3XDTDM" TargetMode="External"/><Relationship Id="rId1641" Type="http://schemas.openxmlformats.org/officeDocument/2006/relationships/image" Target="media/image358.wmf"/><Relationship Id="rId1879" Type="http://schemas.openxmlformats.org/officeDocument/2006/relationships/hyperlink" Target="consultantplus://offline/ref=6CE049F5DC23C8FECAAA43E48537996284A028D0F6B43CA7F1F8D2AE5BE3B3EEADB4B7F535FE9F9B5C0600E4E32EFEF6602A97B9CFDFA406XAT6M" TargetMode="External"/><Relationship Id="rId1501" Type="http://schemas.openxmlformats.org/officeDocument/2006/relationships/hyperlink" Target="consultantplus://offline/ref=6CE049F5DC23C8FECAAA43E48537996284A026DDF2B13CA7F1F8D2AE5BE3B3EEADB4B7F535FE9D91580600E4E32EFEF6602A97B9CFDFA406XAT6M" TargetMode="External"/><Relationship Id="rId1739" Type="http://schemas.openxmlformats.org/officeDocument/2006/relationships/image" Target="media/image441.wmf"/><Relationship Id="rId1806" Type="http://schemas.openxmlformats.org/officeDocument/2006/relationships/image" Target="media/image502.wmf"/><Relationship Id="rId387" Type="http://schemas.openxmlformats.org/officeDocument/2006/relationships/hyperlink" Target="consultantplus://offline/ref=6CE049F5DC23C8FECAAA43E48537996287A02FDEF5B13CA7F1F8D2AE5BE3B3EEADB4B7F535FE9A9A5B0600E4E32EFEF6602A97B9CFDFA406XAT6M" TargetMode="External"/><Relationship Id="rId594" Type="http://schemas.openxmlformats.org/officeDocument/2006/relationships/hyperlink" Target="consultantplus://offline/ref=6CE049F5DC23C8FECAAA43E48537996287A226DDF5B13CA7F1F8D2AE5BE3B3EEADB4B7F535FE9A9C5E0600E4E32EFEF6602A97B9CFDFA406XAT6M" TargetMode="External"/><Relationship Id="rId247" Type="http://schemas.openxmlformats.org/officeDocument/2006/relationships/hyperlink" Target="consultantplus://offline/ref=6CE049F5DC23C8FECAAA43E48537996284AB2BDDF6BC3CA7F1F8D2AE5BE3B3EEADB4B7F535FE9B9A520600E4E32EFEF6602A97B9CFDFA406XAT6M" TargetMode="External"/><Relationship Id="rId899" Type="http://schemas.openxmlformats.org/officeDocument/2006/relationships/hyperlink" Target="consultantplus://offline/ref=6CE049F5DC23C8FECAAA43E48537996286A02BD0F4BD3CA7F1F8D2AE5BE3B3EEADB4B7F535FE9A90530600E4E32EFEF6602A97B9CFDFA406XAT6M" TargetMode="External"/><Relationship Id="rId1084" Type="http://schemas.openxmlformats.org/officeDocument/2006/relationships/image" Target="media/image231.wmf"/><Relationship Id="rId107" Type="http://schemas.openxmlformats.org/officeDocument/2006/relationships/hyperlink" Target="consultantplus://offline/ref=6CE049F5DC23C8FECAAA43E48537996286A22ED1FCB03CA7F1F8D2AE5BE3B3EEADB4B7F535FE9B9A5E0600E4E32EFEF6602A97B9CFDFA406XAT6M" TargetMode="External"/><Relationship Id="rId454" Type="http://schemas.openxmlformats.org/officeDocument/2006/relationships/image" Target="media/image8.wmf"/><Relationship Id="rId661" Type="http://schemas.openxmlformats.org/officeDocument/2006/relationships/hyperlink" Target="consultantplus://offline/ref=6CE049F5DC23C8FECAAA43E48537996286A32CDBF7BD3CA7F1F8D2AE5BE3B3EEADB4B7F535FE9A9A520600E4E32EFEF6602A97B9CFDFA406XAT6M" TargetMode="External"/><Relationship Id="rId759" Type="http://schemas.openxmlformats.org/officeDocument/2006/relationships/hyperlink" Target="consultantplus://offline/ref=6CE049F5DC23C8FECAAA43E48537996286A628DDF6B33CA7F1F8D2AE5BE3B3EEADB4B7F535FE9B9F520600E4E32EFEF6602A97B9CFDFA406XAT6M" TargetMode="External"/><Relationship Id="rId966" Type="http://schemas.openxmlformats.org/officeDocument/2006/relationships/image" Target="media/image161.wmf"/><Relationship Id="rId1291" Type="http://schemas.openxmlformats.org/officeDocument/2006/relationships/hyperlink" Target="consultantplus://offline/ref=6CE049F5DC23C8FECAAA43E48537996284A02AD8F1B03CA7F1F8D2AE5BE3B3EEADB4B7F535FE9F985A0600E4E32EFEF6602A97B9CFDFA406XAT6M" TargetMode="External"/><Relationship Id="rId1389" Type="http://schemas.openxmlformats.org/officeDocument/2006/relationships/hyperlink" Target="consultantplus://offline/ref=6CE049F5DC23C8FECAAA43E48537996284A02AD8F1B03CA7F1F8D2AE5BE3B3EEADB4B7F535FE939C520600E4E32EFEF6602A97B9CFDFA406XAT6M" TargetMode="External"/><Relationship Id="rId1596" Type="http://schemas.openxmlformats.org/officeDocument/2006/relationships/image" Target="media/image320.wmf"/><Relationship Id="rId314" Type="http://schemas.openxmlformats.org/officeDocument/2006/relationships/hyperlink" Target="consultantplus://offline/ref=6CE049F5DC23C8FECAAA43E48537996287A328DCF4B03CA7F1F8D2AE5BE3B3EEADB4B7F535FE9B915E0600E4E32EFEF6602A97B9CFDFA406XAT6M" TargetMode="External"/><Relationship Id="rId521" Type="http://schemas.openxmlformats.org/officeDocument/2006/relationships/hyperlink" Target="consultantplus://offline/ref=6CE049F5DC23C8FECAAA43E48537996286A72ED9F7B63CA7F1F8D2AE5BE3B3EEADB4B7F535FE9B995C0600E4E32EFEF6602A97B9CFDFA406XAT6M" TargetMode="External"/><Relationship Id="rId619" Type="http://schemas.openxmlformats.org/officeDocument/2006/relationships/hyperlink" Target="consultantplus://offline/ref=6CE049F5DC23C8FECAAA43E48537996287AA2DDEF7B23CA7F1F8D2AE5BE3B3EEADB4B7F535FE9B9D530600E4E32EFEF6602A97B9CFDFA406XAT6M" TargetMode="External"/><Relationship Id="rId1151" Type="http://schemas.openxmlformats.org/officeDocument/2006/relationships/hyperlink" Target="consultantplus://offline/ref=6CE049F5DC23C8FECAAA43E48537996287A22AD1F3B13CA7F1F8D2AE5BE3B3EEADB4B7F535FE9B9C590600E4E32EFEF6602A97B9CFDFA406XAT6M" TargetMode="External"/><Relationship Id="rId1249" Type="http://schemas.openxmlformats.org/officeDocument/2006/relationships/hyperlink" Target="consultantplus://offline/ref=6CE049F5DC23C8FECAAA43E48537996286A32CD8F6B23CA7F1F8D2AE5BE3B3EEADB4B7F535FF999D5E0600E4E32EFEF6602A97B9CFDFA406XAT6M" TargetMode="External"/><Relationship Id="rId95" Type="http://schemas.openxmlformats.org/officeDocument/2006/relationships/hyperlink" Target="consultantplus://offline/ref=6CE049F5DC23C8FECAAA43E48537996287A02EDFF2B63CA7F1F8D2AE5BE3B3EEADB4B7F535FE999B590600E4E32EFEF6602A97B9CFDFA406XAT6M" TargetMode="External"/><Relationship Id="rId826" Type="http://schemas.openxmlformats.org/officeDocument/2006/relationships/image" Target="media/image76.wmf"/><Relationship Id="rId1011" Type="http://schemas.openxmlformats.org/officeDocument/2006/relationships/hyperlink" Target="consultantplus://offline/ref=6CE049F5DC23C8FECAAA43E48537996286A22EDDF5B33CA7F1F8D2AE5BE3B3EEADB4B7F535FE9A9D520600E4E32EFEF6602A97B9CFDFA406XAT6M" TargetMode="External"/><Relationship Id="rId1109" Type="http://schemas.openxmlformats.org/officeDocument/2006/relationships/hyperlink" Target="consultantplus://offline/ref=6CE049F5DC23C8FECAAA43E48537996287AA29DBF2B53CA7F1F8D2AE5BE3B3EEADB4B7F535FE9B9C520600E4E32EFEF6602A97B9CFDFA406XAT6M" TargetMode="External"/><Relationship Id="rId1456" Type="http://schemas.openxmlformats.org/officeDocument/2006/relationships/hyperlink" Target="consultantplus://offline/ref=6CE049F5DC23C8FECAAA43E48537996284A026DDF2B63CA7F1F8D2AE5BE3B3EEADB4B7F535FE9D9A5D0600E4E32EFEF6602A97B9CFDFA406XAT6M" TargetMode="External"/><Relationship Id="rId1663" Type="http://schemas.openxmlformats.org/officeDocument/2006/relationships/image" Target="media/image378.wmf"/><Relationship Id="rId1870" Type="http://schemas.openxmlformats.org/officeDocument/2006/relationships/hyperlink" Target="consultantplus://offline/ref=6CE049F5DC23C8FECAAA43E48537996284A228DAFDB73CA7F1F8D2AE5BE3B3EEBFB4EFF937F88599521356B5A5X7TBM" TargetMode="External"/><Relationship Id="rId1316" Type="http://schemas.openxmlformats.org/officeDocument/2006/relationships/hyperlink" Target="consultantplus://offline/ref=6CE049F5DC23C8FECAAA43E48537996284A02AD8F1B03CA7F1F8D2AE5BE3B3EEADB4B7F535FE9F9C5A0600E4E32EFEF6602A97B9CFDFA406XAT6M" TargetMode="External"/><Relationship Id="rId1523" Type="http://schemas.openxmlformats.org/officeDocument/2006/relationships/hyperlink" Target="consultantplus://offline/ref=6CE049F5DC23C8FECAAA43E48537996284A028D0F6B43CA7F1F8D2AE5BE3B3EEADB4B7F535FE9A9B5E0600E4E32EFEF6602A97B9CFDFA406XAT6M" TargetMode="External"/><Relationship Id="rId1730" Type="http://schemas.openxmlformats.org/officeDocument/2006/relationships/image" Target="media/image433.wmf"/><Relationship Id="rId22" Type="http://schemas.openxmlformats.org/officeDocument/2006/relationships/hyperlink" Target="consultantplus://offline/ref=6CE049F5DC23C8FECAAA43E48537996284AB2BDDF6BC3CA7F1F8D2AE5BE3B3EEADB4B7F535FE9B9A5C0600E4E32EFEF6602A97B9CFDFA406XAT6M" TargetMode="External"/><Relationship Id="rId1828" Type="http://schemas.openxmlformats.org/officeDocument/2006/relationships/hyperlink" Target="consultantplus://offline/ref=6CE049F5DC23C8FECAAA43E48537996286A729DAFCB03CA7F1F8D2AE5BE3B3EEADB4B7F535FE9B9B5D0600E4E32EFEF6602A97B9CFDFA406XAT6M" TargetMode="External"/><Relationship Id="rId171" Type="http://schemas.openxmlformats.org/officeDocument/2006/relationships/hyperlink" Target="consultantplus://offline/ref=6CE049F5DC23C8FECAAA43E48537996286A72ED9F7B63CA7F1F8D2AE5BE3B3EEADB4B7F535FE9B9B5D0600E4E32EFEF6602A97B9CFDFA406XAT6M" TargetMode="External"/><Relationship Id="rId269" Type="http://schemas.openxmlformats.org/officeDocument/2006/relationships/hyperlink" Target="consultantplus://offline/ref=6CE049F5DC23C8FECAAA43E48537996286A72ED9F7B63CA7F1F8D2AE5BE3B3EEADB4B7F535FE9B9D5D0600E4E32EFEF6602A97B9CFDFA406XAT6M" TargetMode="External"/><Relationship Id="rId476" Type="http://schemas.openxmlformats.org/officeDocument/2006/relationships/hyperlink" Target="consultantplus://offline/ref=6CE049F5DC23C8FECAAA43E48537996284AB2ED0FCB33CA7F1F8D2AE5BE3B3EEADB4B7F535FE9A9D530600E4E32EFEF6602A97B9CFDFA406XAT6M" TargetMode="External"/><Relationship Id="rId683" Type="http://schemas.openxmlformats.org/officeDocument/2006/relationships/hyperlink" Target="consultantplus://offline/ref=6CE049F5DC23C8FECAAA43E48537996286A32CDBF7BD3CA7F1F8D2AE5BE3B3EEADB4B7F535FE9A9D580600E4E32EFEF6602A97B9CFDFA406XAT6M" TargetMode="External"/><Relationship Id="rId890" Type="http://schemas.openxmlformats.org/officeDocument/2006/relationships/hyperlink" Target="consultantplus://offline/ref=6CE049F5DC23C8FECAAA43E48537996287A02FDEF5B13CA7F1F8D2AE5BE3B3EEADB4B7F535FE9A9D5C0600E4E32EFEF6602A97B9CFDFA406XAT6M" TargetMode="External"/><Relationship Id="rId129" Type="http://schemas.openxmlformats.org/officeDocument/2006/relationships/hyperlink" Target="consultantplus://offline/ref=6CE049F5DC23C8FECAAA43E48537996286A626DBFDB03CA7F1F8D2AE5BE3B3EEADB4B7F535FE9B9F590600E4E32EFEF6602A97B9CFDFA406XAT6M" TargetMode="External"/><Relationship Id="rId336" Type="http://schemas.openxmlformats.org/officeDocument/2006/relationships/hyperlink" Target="consultantplus://offline/ref=6CE049F5DC23C8FECAAA43E48537996286A729D8F1B43CA7F1F8D2AE5BE3B3EEADB4B7F535FE9B9A5B0600E4E32EFEF6602A97B9CFDFA406XAT6M" TargetMode="External"/><Relationship Id="rId543" Type="http://schemas.openxmlformats.org/officeDocument/2006/relationships/hyperlink" Target="consultantplus://offline/ref=6CE049F5DC23C8FECAAA4AFD8237996280A32FDCF7B73CA7F1F8D2AE5BE3B3EEBFB4EFF937F88599521356B5A5X7TBM" TargetMode="External"/><Relationship Id="rId988" Type="http://schemas.openxmlformats.org/officeDocument/2006/relationships/image" Target="media/image175.wmf"/><Relationship Id="rId1173" Type="http://schemas.openxmlformats.org/officeDocument/2006/relationships/hyperlink" Target="consultantplus://offline/ref=6CE049F5DC23C8FECAAA43E48537996287A328DCF4B03CA7F1F8D2AE5BE3B3EEADB4B7F535FE9A9F520600E4E32EFEF6602A97B9CFDFA406XAT6M" TargetMode="External"/><Relationship Id="rId1380" Type="http://schemas.openxmlformats.org/officeDocument/2006/relationships/hyperlink" Target="consultantplus://offline/ref=6CE049F5DC23C8FECAAA43E48537996284A02AD8F1B03CA7F1F8D2AE5BE3B3EEADB4B7F535FE9C98590600E4E32EFEF6602A97B9CFDFA406XAT6M" TargetMode="External"/><Relationship Id="rId403" Type="http://schemas.openxmlformats.org/officeDocument/2006/relationships/hyperlink" Target="consultantplus://offline/ref=6CE049F5DC23C8FECAAA4AFD8237996280A32FDCF7B73CA7F1F8D2AE5BE3B3EEBFB4EFF937F88599521356B5A5X7TBM" TargetMode="External"/><Relationship Id="rId750" Type="http://schemas.openxmlformats.org/officeDocument/2006/relationships/hyperlink" Target="consultantplus://offline/ref=6CE049F5DC23C8FECAAA43E48537996286A628DDF6B33CA7F1F8D2AE5BE3B3EEADB4B7F535FE9B9C5C0600E4E32EFEF6602A97B9CFDFA406XAT6M" TargetMode="External"/><Relationship Id="rId848" Type="http://schemas.openxmlformats.org/officeDocument/2006/relationships/image" Target="media/image95.wmf"/><Relationship Id="rId1033" Type="http://schemas.openxmlformats.org/officeDocument/2006/relationships/hyperlink" Target="consultantplus://offline/ref=6CE049F5DC23C8FECAAA43E48537996286A22EDDF5B33CA7F1F8D2AE5BE3B3EEADB4B7F535FE9A9C5E0600E4E32EFEF6602A97B9CFDFA406XAT6M" TargetMode="External"/><Relationship Id="rId1478" Type="http://schemas.openxmlformats.org/officeDocument/2006/relationships/hyperlink" Target="consultantplus://offline/ref=6CE049F5DC23C8FECAAA43E48537996284A026DDF2B13CA7F1F8D2AE5BE3B3EEADB4B7F535FE9890590600E4E32EFEF6602A97B9CFDFA406XAT6M" TargetMode="External"/><Relationship Id="rId1685" Type="http://schemas.openxmlformats.org/officeDocument/2006/relationships/hyperlink" Target="consultantplus://offline/ref=6CE049F5DC23C8FECAAA43E48537996286A628D1FCB73CA7F1F8D2AE5BE3B3EEADB4B7F535FE9B9D5D0600E4E32EFEF6602A97B9CFDFA406XAT6M" TargetMode="External"/><Relationship Id="rId610" Type="http://schemas.openxmlformats.org/officeDocument/2006/relationships/hyperlink" Target="consultantplus://offline/ref=6CE049F5DC23C8FECAAA43E48537996287AA2DDEF7B23CA7F1F8D2AE5BE3B3EEADB4B7F535FE9B9D5B0600E4E32EFEF6602A97B9CFDFA406XAT6M" TargetMode="External"/><Relationship Id="rId708" Type="http://schemas.openxmlformats.org/officeDocument/2006/relationships/hyperlink" Target="consultantplus://offline/ref=6CE049F5DC23C8FECAAA43E48537996286A628DCF2B63CA7F1F8D2AE5BE3B3EEADB4B7F631FA9A920E5C10E0AA79F5EA663C89B3D1DFXAT4M" TargetMode="External"/><Relationship Id="rId915" Type="http://schemas.openxmlformats.org/officeDocument/2006/relationships/image" Target="media/image133.wmf"/><Relationship Id="rId1240" Type="http://schemas.openxmlformats.org/officeDocument/2006/relationships/hyperlink" Target="consultantplus://offline/ref=6CE049F5DC23C8FECAAA43E48537996287A328DCF4B03CA7F1F8D2AE5BE3B3EEADB4B7F535FE9F915D0600E4E32EFEF6602A97B9CFDFA406XAT6M" TargetMode="External"/><Relationship Id="rId1338" Type="http://schemas.openxmlformats.org/officeDocument/2006/relationships/hyperlink" Target="consultantplus://offline/ref=6CE049F5DC23C8FECAAA43E48537996284A02AD8F1B03CA7F1F8D2AE5BE3B3EEADB4B7F535FE9E9A580600E4E32EFEF6602A97B9CFDFA406XAT6M" TargetMode="External"/><Relationship Id="rId1545" Type="http://schemas.openxmlformats.org/officeDocument/2006/relationships/image" Target="media/image273.wmf"/><Relationship Id="rId1100" Type="http://schemas.openxmlformats.org/officeDocument/2006/relationships/hyperlink" Target="consultantplus://offline/ref=6CE049F5DC23C8FECAAA43E48537996286A229D0F3B43CA7F1F8D2AE5BE3B3EEADB4B7F535FE9B9E5B0600E4E32EFEF6602A97B9CFDFA406XAT6M" TargetMode="External"/><Relationship Id="rId1405" Type="http://schemas.openxmlformats.org/officeDocument/2006/relationships/hyperlink" Target="consultantplus://offline/ref=6CE049F5DC23C8FECAAA43E48537996284A02AD8F1B03CA7F1F8D2AE5BE3B3EEADB4B7F535FE9390580600E4E32EFEF6602A97B9CFDFA406XAT6M" TargetMode="External"/><Relationship Id="rId1752" Type="http://schemas.openxmlformats.org/officeDocument/2006/relationships/image" Target="media/image452.wmf"/><Relationship Id="rId44" Type="http://schemas.openxmlformats.org/officeDocument/2006/relationships/hyperlink" Target="consultantplus://offline/ref=6CE049F5DC23C8FECAAA43E48537996286A32CD8F6B23CA7F1F8D2AE5BE3B3EEADB4B7F535FF99995B0600E4E32EFEF6602A97B9CFDFA406XAT6M" TargetMode="External"/><Relationship Id="rId1612" Type="http://schemas.openxmlformats.org/officeDocument/2006/relationships/image" Target="media/image334.wmf"/><Relationship Id="rId193" Type="http://schemas.openxmlformats.org/officeDocument/2006/relationships/hyperlink" Target="consultantplus://offline/ref=6CE049F5DC23C8FECAAA43E48537996286A628DCF2B63CA7F1F8D2AE5BE3B3EEADB4B7F535FE9E9F5E0600E4E32EFEF6602A97B9CFDFA406XAT6M" TargetMode="External"/><Relationship Id="rId498" Type="http://schemas.openxmlformats.org/officeDocument/2006/relationships/hyperlink" Target="consultantplus://offline/ref=6CE049F5DC23C8FECAAA43E48537996287A328DCF4B03CA7F1F8D2AE5BE3B3EEADB4B7F535FE9B905D0600E4E32EFEF6602A97B9CFDFA406XAT6M" TargetMode="External"/><Relationship Id="rId260" Type="http://schemas.openxmlformats.org/officeDocument/2006/relationships/hyperlink" Target="consultantplus://offline/ref=6CE049F5DC23C8FECAAA43E48537996284A727D0F4B33CA7F1F8D2AE5BE3B3EEADB4B7F535FE9B9E580600E4E32EFEF6602A97B9CFDFA406XAT6M" TargetMode="External"/><Relationship Id="rId120" Type="http://schemas.openxmlformats.org/officeDocument/2006/relationships/hyperlink" Target="consultantplus://offline/ref=6CE049F5DC23C8FECAAA43E48537996284A52BDCFDB13CA7F1F8D2AE5BE3B3EEADB4B7F535FE9A99520600E4E32EFEF6602A97B9CFDFA406XAT6M" TargetMode="External"/><Relationship Id="rId358" Type="http://schemas.openxmlformats.org/officeDocument/2006/relationships/hyperlink" Target="consultantplus://offline/ref=6CE049F5DC23C8FECAAA43E48537996284A62FDDF4B43CA7F1F8D2AE5BE3B3EEADB4B7F535FE9B9C5F0600E4E32EFEF6602A97B9CFDFA406XAT6M" TargetMode="External"/><Relationship Id="rId565" Type="http://schemas.openxmlformats.org/officeDocument/2006/relationships/hyperlink" Target="consultantplus://offline/ref=6CE049F5DC23C8FECAAA43E48537996287AA2DDEF7B23CA7F1F8D2AE5BE3B3EEADB4B7F535FE9B98530600E4E32EFEF6602A97B9CFDFA406XAT6M" TargetMode="External"/><Relationship Id="rId772" Type="http://schemas.openxmlformats.org/officeDocument/2006/relationships/image" Target="media/image30.wmf"/><Relationship Id="rId1195" Type="http://schemas.openxmlformats.org/officeDocument/2006/relationships/hyperlink" Target="consultantplus://offline/ref=6CE049F5DC23C8FECAAA43E48537996287A328DCF4B03CA7F1F8D2AE5BE3B3EEADB4B7F535FE98995C0600E4E32EFEF6602A97B9CFDFA406XAT6M" TargetMode="External"/><Relationship Id="rId218" Type="http://schemas.openxmlformats.org/officeDocument/2006/relationships/hyperlink" Target="consultantplus://offline/ref=6CE049F5DC23C8FECAAA43E48537996286A628DCF2B63CA7F1F8D2AE5BE3B3EEADB4B7F535FE9C9E5C0600E4E32EFEF6602A97B9CFDFA406XAT6M" TargetMode="External"/><Relationship Id="rId425" Type="http://schemas.openxmlformats.org/officeDocument/2006/relationships/hyperlink" Target="consultantplus://offline/ref=6CE049F5DC23C8FECAAA43E48537996286A02ADBFDB63CA7F1F8D2AE5BE3B3EEADB4B7F535FE9B98580600E4E32EFEF6602A97B9CFDFA406XAT6M" TargetMode="External"/><Relationship Id="rId632" Type="http://schemas.openxmlformats.org/officeDocument/2006/relationships/hyperlink" Target="consultantplus://offline/ref=6CE049F5DC23C8FECAAA43E48537996287A22AD1F3B13CA7F1F8D2AE5BE3B3EEADB4B7F535FE9B985D0600E4E32EFEF6602A97B9CFDFA406XAT6M" TargetMode="External"/><Relationship Id="rId1055" Type="http://schemas.openxmlformats.org/officeDocument/2006/relationships/image" Target="media/image213.wmf"/><Relationship Id="rId1262" Type="http://schemas.openxmlformats.org/officeDocument/2006/relationships/hyperlink" Target="consultantplus://offline/ref=6CE049F5DC23C8FECAAA43E48537996286A628D1FCB73CA7F1F8D2AE5BE3B3EEADB4B7F535FE9B9D5D0600E4E32EFEF6602A97B9CFDFA406XAT6M" TargetMode="External"/><Relationship Id="rId937" Type="http://schemas.openxmlformats.org/officeDocument/2006/relationships/hyperlink" Target="consultantplus://offline/ref=6CE049F5DC23C8FECAAA43E48537996287A02FDDF4B63CA7F1F8D2AE5BE3B3EEBFB4EFF937F88599521356B5A5X7TBM" TargetMode="External"/><Relationship Id="rId1122" Type="http://schemas.openxmlformats.org/officeDocument/2006/relationships/hyperlink" Target="consultantplus://offline/ref=6CE049F5DC23C8FECAAA43E48537996286A328DEF7BD3CA7F1F8D2AE5BE3B3EEADB4B7F535FE9890520600E4E32EFEF6602A97B9CFDFA406XAT6M" TargetMode="External"/><Relationship Id="rId1567" Type="http://schemas.openxmlformats.org/officeDocument/2006/relationships/image" Target="media/image295.wmf"/><Relationship Id="rId1774" Type="http://schemas.openxmlformats.org/officeDocument/2006/relationships/image" Target="media/image472.wmf"/><Relationship Id="rId66" Type="http://schemas.openxmlformats.org/officeDocument/2006/relationships/hyperlink" Target="consultantplus://offline/ref=6CE049F5DC23C8FECAAA43E48537996286A02ADBFDB63CA7F1F8D2AE5BE3B3EEADB4B7F535FE9B98580600E4E32EFEF6602A97B9CFDFA406XAT6M" TargetMode="External"/><Relationship Id="rId1427" Type="http://schemas.openxmlformats.org/officeDocument/2006/relationships/hyperlink" Target="consultantplus://offline/ref=6CE049F5DC23C8FECAAA43E48537996284A02AD8F1B03CA7F1F8D2AE5BE3B3EEADB4B7F636FD90CD0B4901B8A57DEDF46E2A95B1D3XDTDM" TargetMode="External"/><Relationship Id="rId1634" Type="http://schemas.openxmlformats.org/officeDocument/2006/relationships/image" Target="media/image352.wmf"/><Relationship Id="rId1841" Type="http://schemas.openxmlformats.org/officeDocument/2006/relationships/hyperlink" Target="consultantplus://offline/ref=6CE049F5DC23C8FECAAA43E48537996286A729DAFCB03CA7F1F8D2AE5BE3B3EEADB4B7F535FE9B9B5D0600E4E32EFEF6602A97B9CFDFA406XAT6M" TargetMode="External"/><Relationship Id="rId1701" Type="http://schemas.openxmlformats.org/officeDocument/2006/relationships/image" Target="media/image40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215030</Words>
  <Characters>1225675</Characters>
  <Application>Microsoft Office Word</Application>
  <DocSecurity>0</DocSecurity>
  <Lines>10213</Lines>
  <Paragraphs>2875</Paragraphs>
  <ScaleCrop>false</ScaleCrop>
  <Company/>
  <LinksUpToDate>false</LinksUpToDate>
  <CharactersWithSpaces>1437830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Кристина Владимировна Жердева</dc:creator>
  <cp:keywords/>
  <dc:description/>
  <cp:lastModifiedBy>Кристина Владимировна Жердева</cp:lastModifiedBy>
  <cp:revision>3</cp:revision>
  <dcterms:created xsi:type="dcterms:W3CDTF">2020-08-26T12:19:00Z</dcterms:created>
  <dcterms:modified xsi:type="dcterms:W3CDTF">2020-08-26T12:19:00Z</dcterms:modified>
</cp:coreProperties>
</file>