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CA" w:rsidRDefault="006A67CA">
      <w:pPr>
        <w:rPr>
          <w:rFonts w:ascii="Times New Roman" w:hAnsi="Times New Roman" w:cs="Times New Roman"/>
          <w:color w:val="000000"/>
          <w:sz w:val="28"/>
          <w:szCs w:val="28"/>
        </w:rPr>
      </w:pPr>
      <w:bookmarkStart w:id="0" w:name="_GoBack"/>
      <w:bookmarkEnd w:id="0"/>
    </w:p>
    <w:p w:rsidR="006A67CA" w:rsidRDefault="006A67CA" w:rsidP="006A67CA">
      <w:pPr>
        <w:pStyle w:val="Default"/>
        <w:jc w:val="right"/>
        <w:rPr>
          <w:sz w:val="28"/>
          <w:szCs w:val="28"/>
        </w:rPr>
      </w:pPr>
      <w:r>
        <w:rPr>
          <w:sz w:val="28"/>
          <w:szCs w:val="28"/>
        </w:rPr>
        <w:t>Приложение 1</w:t>
      </w:r>
    </w:p>
    <w:p w:rsidR="006A67CA" w:rsidRDefault="006A67CA" w:rsidP="006A67CA">
      <w:pPr>
        <w:pStyle w:val="Default"/>
        <w:jc w:val="center"/>
        <w:rPr>
          <w:b/>
          <w:bCs/>
          <w:sz w:val="28"/>
          <w:szCs w:val="28"/>
        </w:rPr>
      </w:pPr>
    </w:p>
    <w:p w:rsidR="006A67CA" w:rsidRDefault="006A67CA" w:rsidP="006A67CA">
      <w:pPr>
        <w:pStyle w:val="Default"/>
        <w:jc w:val="center"/>
        <w:rPr>
          <w:b/>
          <w:bCs/>
          <w:sz w:val="28"/>
          <w:szCs w:val="28"/>
        </w:rPr>
      </w:pPr>
      <w:r>
        <w:rPr>
          <w:b/>
          <w:bCs/>
          <w:sz w:val="28"/>
          <w:szCs w:val="28"/>
        </w:rPr>
        <w:t>Рекомендуемый перечень документов, направляемых СНТ в ТСО при передаче ОЭСХ во владение ТСО</w:t>
      </w:r>
    </w:p>
    <w:p w:rsidR="006A67CA" w:rsidRDefault="006A67CA" w:rsidP="006A67CA">
      <w:pPr>
        <w:pStyle w:val="Default"/>
        <w:jc w:val="center"/>
        <w:rPr>
          <w:b/>
          <w:bCs/>
          <w:sz w:val="28"/>
          <w:szCs w:val="28"/>
        </w:rPr>
      </w:pPr>
    </w:p>
    <w:p w:rsidR="006A67CA" w:rsidRDefault="006A67CA" w:rsidP="006A67CA">
      <w:pPr>
        <w:pStyle w:val="Default"/>
        <w:numPr>
          <w:ilvl w:val="0"/>
          <w:numId w:val="5"/>
        </w:numPr>
        <w:ind w:left="0" w:firstLine="709"/>
        <w:jc w:val="both"/>
        <w:rPr>
          <w:sz w:val="28"/>
          <w:szCs w:val="28"/>
        </w:rPr>
      </w:pPr>
      <w:r>
        <w:rPr>
          <w:sz w:val="28"/>
          <w:szCs w:val="28"/>
        </w:rPr>
        <w:t xml:space="preserve">Заявление о передаче ОЭСХ, содержащее сведения о составе и характеристиках оборудования (протяженность воздушных и кабельных линий электропередачи по классам напряжения, количество, мощность и класс напряжения силовых </w:t>
      </w:r>
      <w:proofErr w:type="gramStart"/>
      <w:r>
        <w:rPr>
          <w:sz w:val="28"/>
          <w:szCs w:val="28"/>
        </w:rPr>
        <w:t>трансформаторов</w:t>
      </w:r>
      <w:proofErr w:type="gramEnd"/>
      <w:r>
        <w:rPr>
          <w:sz w:val="28"/>
          <w:szCs w:val="28"/>
        </w:rPr>
        <w:t xml:space="preserve"> и другие), об идентификационном номере налогоплательщика СНТ, контактную информацию ответственного представителя СНТ (в соответствии с формой, при наличии, размещенной на официальном сайте ТСО в информационно-телекоммуникационной сети «Интернет»). </w:t>
      </w:r>
    </w:p>
    <w:p w:rsidR="006A67CA" w:rsidRDefault="006A67CA" w:rsidP="006A67CA">
      <w:pPr>
        <w:pStyle w:val="Default"/>
        <w:numPr>
          <w:ilvl w:val="0"/>
          <w:numId w:val="5"/>
        </w:numPr>
        <w:ind w:left="0" w:firstLine="709"/>
        <w:jc w:val="both"/>
        <w:rPr>
          <w:sz w:val="28"/>
          <w:szCs w:val="28"/>
        </w:rPr>
      </w:pPr>
      <w:r>
        <w:rPr>
          <w:sz w:val="28"/>
          <w:szCs w:val="28"/>
        </w:rPr>
        <w:t xml:space="preserve">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6A67CA" w:rsidRDefault="006A67CA" w:rsidP="006A67CA">
      <w:pPr>
        <w:pStyle w:val="Default"/>
        <w:numPr>
          <w:ilvl w:val="0"/>
          <w:numId w:val="5"/>
        </w:numPr>
        <w:ind w:left="0" w:firstLine="709"/>
        <w:jc w:val="both"/>
        <w:rPr>
          <w:sz w:val="28"/>
          <w:szCs w:val="28"/>
        </w:rPr>
      </w:pPr>
      <w:r>
        <w:rPr>
          <w:sz w:val="28"/>
          <w:szCs w:val="28"/>
        </w:rPr>
        <w:t xml:space="preserve">Подтверждение полномочий единоличного исполнительного органа (протокол избрания председателя СНТ/протокольное решение о назначении полномочного представителя СНТ по взаимодействию с ТСО/иное). </w:t>
      </w:r>
    </w:p>
    <w:p w:rsidR="006A67CA" w:rsidRDefault="006A67CA" w:rsidP="006A67CA">
      <w:pPr>
        <w:pStyle w:val="Default"/>
        <w:numPr>
          <w:ilvl w:val="0"/>
          <w:numId w:val="5"/>
        </w:numPr>
        <w:ind w:left="0" w:firstLine="709"/>
        <w:jc w:val="both"/>
        <w:rPr>
          <w:sz w:val="28"/>
          <w:szCs w:val="28"/>
        </w:rPr>
      </w:pPr>
      <w:r>
        <w:rPr>
          <w:sz w:val="28"/>
          <w:szCs w:val="28"/>
        </w:rPr>
        <w:t xml:space="preserve">Протокол общего собрания членов СНТ по вопросу передачи ОЭСХ во владение, пользование и распоряжение ТСО (в соответствии с формой, при наличии, размещенной на официальном сайте ТСО в информационно-телекоммуникационной сети «Интернет»). </w:t>
      </w:r>
    </w:p>
    <w:p w:rsidR="006A67CA" w:rsidRDefault="006A67CA" w:rsidP="006A67CA">
      <w:pPr>
        <w:pStyle w:val="Default"/>
        <w:numPr>
          <w:ilvl w:val="0"/>
          <w:numId w:val="5"/>
        </w:numPr>
        <w:ind w:left="0" w:firstLine="709"/>
        <w:jc w:val="both"/>
        <w:rPr>
          <w:sz w:val="28"/>
          <w:szCs w:val="28"/>
        </w:rPr>
      </w:pPr>
      <w:r>
        <w:rPr>
          <w:sz w:val="28"/>
          <w:szCs w:val="28"/>
        </w:rPr>
        <w:t>Документы, подтверждающие технологическое присоединение СНТ к сетям ТСО (акт разграничения балансовой принадлежности и эксплуатационной ответственности сторон (</w:t>
      </w:r>
      <w:proofErr w:type="spellStart"/>
      <w:r>
        <w:rPr>
          <w:sz w:val="28"/>
          <w:szCs w:val="28"/>
        </w:rPr>
        <w:t>АРБПиЭО</w:t>
      </w:r>
      <w:proofErr w:type="spellEnd"/>
      <w:r>
        <w:rPr>
          <w:sz w:val="28"/>
          <w:szCs w:val="28"/>
        </w:rPr>
        <w:t xml:space="preserve">)/акт об осуществлении технологического присоединения/Уведомление об обеспечении ТСО возможности присоединения к электрическим сетям). </w:t>
      </w:r>
    </w:p>
    <w:p w:rsidR="006A67CA" w:rsidRDefault="006A67CA" w:rsidP="006A67CA">
      <w:pPr>
        <w:pStyle w:val="Default"/>
        <w:numPr>
          <w:ilvl w:val="0"/>
          <w:numId w:val="5"/>
        </w:numPr>
        <w:ind w:left="0" w:firstLine="709"/>
        <w:jc w:val="both"/>
        <w:rPr>
          <w:sz w:val="28"/>
          <w:szCs w:val="28"/>
        </w:rPr>
      </w:pPr>
      <w:r>
        <w:rPr>
          <w:sz w:val="28"/>
          <w:szCs w:val="28"/>
        </w:rPr>
        <w:t xml:space="preserve">Документы, подтверждающие технологическое присоединение отдельных участков, а также объектов внутри СНТ, в случае их наличия. </w:t>
      </w:r>
    </w:p>
    <w:p w:rsidR="006A67CA" w:rsidRDefault="006A67CA" w:rsidP="006A67CA">
      <w:pPr>
        <w:pStyle w:val="Default"/>
        <w:numPr>
          <w:ilvl w:val="0"/>
          <w:numId w:val="5"/>
        </w:numPr>
        <w:ind w:left="0" w:firstLine="709"/>
        <w:jc w:val="both"/>
        <w:rPr>
          <w:sz w:val="28"/>
          <w:szCs w:val="28"/>
        </w:rPr>
      </w:pPr>
      <w:r>
        <w:rPr>
          <w:sz w:val="28"/>
          <w:szCs w:val="28"/>
        </w:rPr>
        <w:t xml:space="preserve">План территории СНТ с указанием ОЭСХ (в свободной форме), который должен содержать информацию </w:t>
      </w:r>
      <w:proofErr w:type="gramStart"/>
      <w:r>
        <w:rPr>
          <w:sz w:val="28"/>
          <w:szCs w:val="28"/>
        </w:rPr>
        <w:t>о</w:t>
      </w:r>
      <w:proofErr w:type="gramEnd"/>
      <w:r>
        <w:rPr>
          <w:sz w:val="28"/>
          <w:szCs w:val="28"/>
        </w:rPr>
        <w:t xml:space="preserve"> всех участках и объектах внутри СНТ, имеющих технологическое присоединение к ОЭСХ, ОЭСХ, а также о точках присоединения к сетям ТСО. </w:t>
      </w:r>
    </w:p>
    <w:p w:rsidR="006A67CA" w:rsidRDefault="006A67CA" w:rsidP="006A67CA">
      <w:pPr>
        <w:pStyle w:val="Default"/>
        <w:numPr>
          <w:ilvl w:val="0"/>
          <w:numId w:val="5"/>
        </w:numPr>
        <w:ind w:left="0" w:firstLine="709"/>
        <w:jc w:val="both"/>
        <w:rPr>
          <w:sz w:val="28"/>
          <w:szCs w:val="28"/>
        </w:rPr>
      </w:pPr>
      <w:r>
        <w:rPr>
          <w:sz w:val="28"/>
          <w:szCs w:val="28"/>
        </w:rPr>
        <w:t xml:space="preserve">Проектная и техническая документация на ОЭСХ СНТ (при наличии). </w:t>
      </w:r>
    </w:p>
    <w:p w:rsidR="006A67CA" w:rsidRDefault="006A67CA" w:rsidP="006A67CA">
      <w:pPr>
        <w:pStyle w:val="Default"/>
        <w:numPr>
          <w:ilvl w:val="0"/>
          <w:numId w:val="5"/>
        </w:numPr>
        <w:ind w:left="0" w:firstLine="709"/>
        <w:jc w:val="both"/>
        <w:rPr>
          <w:sz w:val="28"/>
          <w:szCs w:val="28"/>
        </w:rPr>
      </w:pPr>
      <w:r>
        <w:rPr>
          <w:sz w:val="28"/>
          <w:szCs w:val="28"/>
        </w:rPr>
        <w:t xml:space="preserve">Документы, подтверждающие право собственности или иное законное основание на ОЭСХ, земельные участки под ОЭСХ. </w:t>
      </w:r>
    </w:p>
    <w:p w:rsidR="006A67CA" w:rsidRDefault="006A67CA" w:rsidP="006A67CA">
      <w:pPr>
        <w:pStyle w:val="Default"/>
        <w:numPr>
          <w:ilvl w:val="0"/>
          <w:numId w:val="5"/>
        </w:numPr>
        <w:ind w:left="0" w:firstLine="709"/>
        <w:jc w:val="both"/>
        <w:rPr>
          <w:sz w:val="28"/>
          <w:szCs w:val="28"/>
        </w:rPr>
      </w:pPr>
      <w:r>
        <w:rPr>
          <w:sz w:val="28"/>
          <w:szCs w:val="28"/>
        </w:rPr>
        <w:t xml:space="preserve">Реестр распределения мощности (в соответствии с формой, размещенной на официальном сайте ТСО в информационно-телекоммуникационной сети «Интернет»). </w:t>
      </w:r>
    </w:p>
    <w:p w:rsidR="006A67CA" w:rsidRDefault="006A67CA" w:rsidP="006A67CA">
      <w:pPr>
        <w:pStyle w:val="Default"/>
        <w:ind w:firstLine="709"/>
        <w:jc w:val="both"/>
        <w:rPr>
          <w:sz w:val="28"/>
          <w:szCs w:val="28"/>
        </w:rPr>
      </w:pPr>
      <w:r>
        <w:rPr>
          <w:sz w:val="28"/>
          <w:szCs w:val="28"/>
        </w:rPr>
        <w:t xml:space="preserve">Реестр распределения мощности содержит сведения о собственнике земельного участка, максимальной мощности, установленном приборе учета, а также текущие показания прибора учета. В реестре распределения мощности также </w:t>
      </w:r>
      <w:r>
        <w:rPr>
          <w:sz w:val="28"/>
          <w:szCs w:val="28"/>
        </w:rPr>
        <w:lastRenderedPageBreak/>
        <w:t xml:space="preserve">отражаются объекты инфраструктуры общего пользования СНТ (такие как водозаборный узел, пост охраны и так далее) с указанием выделенной мощности, в отношении которых будет продолжать действие договор энергоснабжения СНТ. </w:t>
      </w:r>
    </w:p>
    <w:p w:rsidR="006A67CA" w:rsidRDefault="006A67CA" w:rsidP="006A67CA">
      <w:pPr>
        <w:pStyle w:val="Default"/>
        <w:numPr>
          <w:ilvl w:val="0"/>
          <w:numId w:val="5"/>
        </w:numPr>
        <w:ind w:left="0" w:firstLine="709"/>
        <w:jc w:val="both"/>
        <w:rPr>
          <w:sz w:val="28"/>
          <w:szCs w:val="28"/>
        </w:rPr>
      </w:pPr>
      <w:r>
        <w:rPr>
          <w:sz w:val="28"/>
          <w:szCs w:val="28"/>
        </w:rPr>
        <w:t>Согласие члена СНТ на размещение линий электропередачи на участках, находящихся на территории СНТ, и на предоставление беспрепятственного доступа сотрудникам ТСО для обслуживания данных линий электропередачи (в соответствии с формой, размещенной на официальном сайте ТСО в информационно-телекоммуникационной сети «Интернет»).</w:t>
      </w:r>
    </w:p>
    <w:p w:rsidR="00A37D0F" w:rsidRDefault="00A37D0F"/>
    <w:sectPr w:rsidR="00A37D0F" w:rsidSect="006A67CA">
      <w:pgSz w:w="11900" w:h="17340"/>
      <w:pgMar w:top="1134" w:right="567" w:bottom="1135"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B9" w:rsidRDefault="001D5FB9" w:rsidP="006A67CA">
      <w:pPr>
        <w:spacing w:after="0" w:line="240" w:lineRule="auto"/>
      </w:pPr>
      <w:r>
        <w:separator/>
      </w:r>
    </w:p>
  </w:endnote>
  <w:endnote w:type="continuationSeparator" w:id="0">
    <w:p w:rsidR="001D5FB9" w:rsidRDefault="001D5FB9" w:rsidP="006A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B9" w:rsidRDefault="001D5FB9" w:rsidP="006A67CA">
      <w:pPr>
        <w:spacing w:after="0" w:line="240" w:lineRule="auto"/>
      </w:pPr>
      <w:r>
        <w:separator/>
      </w:r>
    </w:p>
  </w:footnote>
  <w:footnote w:type="continuationSeparator" w:id="0">
    <w:p w:rsidR="001D5FB9" w:rsidRDefault="001D5FB9" w:rsidP="006A6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E63"/>
    <w:multiLevelType w:val="hybridMultilevel"/>
    <w:tmpl w:val="4A1C6E46"/>
    <w:lvl w:ilvl="0" w:tplc="058C123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8C5A99"/>
    <w:multiLevelType w:val="hybridMultilevel"/>
    <w:tmpl w:val="264465D0"/>
    <w:lvl w:ilvl="0" w:tplc="F2D201A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807F6E"/>
    <w:multiLevelType w:val="hybridMultilevel"/>
    <w:tmpl w:val="E850F32C"/>
    <w:lvl w:ilvl="0" w:tplc="F476E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8E114B"/>
    <w:multiLevelType w:val="hybridMultilevel"/>
    <w:tmpl w:val="375C4D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E6F38C0"/>
    <w:multiLevelType w:val="hybridMultilevel"/>
    <w:tmpl w:val="D7B24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7AC2B43"/>
    <w:multiLevelType w:val="hybridMultilevel"/>
    <w:tmpl w:val="A54243F2"/>
    <w:lvl w:ilvl="0" w:tplc="F476E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D2"/>
    <w:rsid w:val="001D5FB9"/>
    <w:rsid w:val="00544FD2"/>
    <w:rsid w:val="005C0EFA"/>
    <w:rsid w:val="006A67CA"/>
    <w:rsid w:val="00A37D0F"/>
    <w:rsid w:val="00B13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7C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A67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67CA"/>
  </w:style>
  <w:style w:type="paragraph" w:styleId="a5">
    <w:name w:val="footer"/>
    <w:basedOn w:val="a"/>
    <w:link w:val="a6"/>
    <w:uiPriority w:val="99"/>
    <w:unhideWhenUsed/>
    <w:rsid w:val="006A67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6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7C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A67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67CA"/>
  </w:style>
  <w:style w:type="paragraph" w:styleId="a5">
    <w:name w:val="footer"/>
    <w:basedOn w:val="a"/>
    <w:link w:val="a6"/>
    <w:uiPriority w:val="99"/>
    <w:unhideWhenUsed/>
    <w:rsid w:val="006A67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Сергеевич Бабков</dc:creator>
  <cp:keywords/>
  <dc:description/>
  <cp:lastModifiedBy>Лейла Захидовна Мирзоева</cp:lastModifiedBy>
  <cp:revision>3</cp:revision>
  <dcterms:created xsi:type="dcterms:W3CDTF">2024-03-28T09:25:00Z</dcterms:created>
  <dcterms:modified xsi:type="dcterms:W3CDTF">2024-03-29T08:01:00Z</dcterms:modified>
</cp:coreProperties>
</file>